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BF3EA" w14:textId="5E2A9B5E" w:rsidR="00A86626" w:rsidRPr="00061688" w:rsidRDefault="00A86626" w:rsidP="00EA445C">
      <w:pPr>
        <w:spacing w:after="0" w:line="240" w:lineRule="auto"/>
        <w:rPr>
          <w:rFonts w:ascii="Franklin Gothic Book" w:hAnsi="Franklin Gothic Book"/>
        </w:rPr>
      </w:pPr>
      <w:r w:rsidRPr="00061688">
        <w:rPr>
          <w:rFonts w:ascii="Franklin Gothic Book" w:hAnsi="Franklin Gothic Book"/>
        </w:rPr>
        <w:t>The Honorable Dr. Mehmet Oz</w:t>
      </w:r>
    </w:p>
    <w:p w14:paraId="689936DD" w14:textId="77777777" w:rsidR="00A86626" w:rsidRPr="00061688" w:rsidRDefault="00A86626" w:rsidP="00AD1F0C">
      <w:pPr>
        <w:spacing w:after="0" w:line="240" w:lineRule="auto"/>
        <w:rPr>
          <w:rFonts w:ascii="Franklin Gothic Book" w:hAnsi="Franklin Gothic Book"/>
        </w:rPr>
      </w:pPr>
      <w:r w:rsidRPr="00061688">
        <w:rPr>
          <w:rFonts w:ascii="Franklin Gothic Book" w:hAnsi="Franklin Gothic Book"/>
        </w:rPr>
        <w:t>Administrator, Centers for Medicare &amp; Medicaid Services </w:t>
      </w:r>
    </w:p>
    <w:p w14:paraId="58DABAD6" w14:textId="77777777" w:rsidR="00A86626" w:rsidRPr="00061688" w:rsidRDefault="00A86626" w:rsidP="00AD1F0C">
      <w:pPr>
        <w:spacing w:after="0" w:line="240" w:lineRule="auto"/>
        <w:rPr>
          <w:rFonts w:ascii="Franklin Gothic Book" w:hAnsi="Franklin Gothic Book"/>
        </w:rPr>
      </w:pPr>
      <w:r w:rsidRPr="00061688">
        <w:rPr>
          <w:rFonts w:ascii="Franklin Gothic Book" w:hAnsi="Franklin Gothic Book"/>
        </w:rPr>
        <w:t>U.S. Department of Health and Human Services </w:t>
      </w:r>
    </w:p>
    <w:p w14:paraId="5A3E9BED" w14:textId="77777777" w:rsidR="00A86626" w:rsidRPr="00061688" w:rsidRDefault="00A86626" w:rsidP="00AD1F0C">
      <w:pPr>
        <w:spacing w:after="0" w:line="240" w:lineRule="auto"/>
        <w:rPr>
          <w:rFonts w:ascii="Franklin Gothic Book" w:hAnsi="Franklin Gothic Book"/>
        </w:rPr>
      </w:pPr>
      <w:r w:rsidRPr="00061688">
        <w:rPr>
          <w:rFonts w:ascii="Franklin Gothic Book" w:hAnsi="Franklin Gothic Book"/>
        </w:rPr>
        <w:t>7500 Security Boulevard </w:t>
      </w:r>
    </w:p>
    <w:p w14:paraId="2EF0BA6D" w14:textId="77777777" w:rsidR="00A86626" w:rsidRPr="00061688" w:rsidRDefault="00A86626" w:rsidP="00AD1F0C">
      <w:pPr>
        <w:spacing w:after="0" w:line="240" w:lineRule="auto"/>
        <w:rPr>
          <w:rFonts w:ascii="Franklin Gothic Book" w:hAnsi="Franklin Gothic Book"/>
        </w:rPr>
      </w:pPr>
      <w:r w:rsidRPr="00061688">
        <w:rPr>
          <w:rFonts w:ascii="Franklin Gothic Book" w:hAnsi="Franklin Gothic Book"/>
        </w:rPr>
        <w:t>Baltimore, MD 21244-1850 </w:t>
      </w:r>
    </w:p>
    <w:p w14:paraId="642CAD94" w14:textId="77777777" w:rsidR="00A86626" w:rsidRPr="00061688" w:rsidRDefault="00A86626" w:rsidP="00AD1F0C">
      <w:pPr>
        <w:spacing w:after="0" w:line="240" w:lineRule="auto"/>
        <w:rPr>
          <w:rFonts w:ascii="Franklin Gothic Book" w:hAnsi="Franklin Gothic Book"/>
        </w:rPr>
      </w:pPr>
      <w:r w:rsidRPr="00061688">
        <w:rPr>
          <w:rFonts w:ascii="Franklin Gothic Book" w:hAnsi="Franklin Gothic Book"/>
        </w:rPr>
        <w:t>(Submitted electronically to regulations.gov) </w:t>
      </w:r>
    </w:p>
    <w:p w14:paraId="637480C9" w14:textId="69D52F67" w:rsidR="00A86626" w:rsidRPr="00061688" w:rsidRDefault="00A86626" w:rsidP="0016095C">
      <w:pPr>
        <w:rPr>
          <w:rFonts w:ascii="Franklin Gothic Book" w:hAnsi="Franklin Gothic Book"/>
        </w:rPr>
      </w:pPr>
      <w:r w:rsidRPr="00061688">
        <w:rPr>
          <w:rFonts w:ascii="Franklin Gothic Book" w:hAnsi="Franklin Gothic Book"/>
        </w:rPr>
        <w:t> </w:t>
      </w:r>
    </w:p>
    <w:p w14:paraId="74335A59" w14:textId="3EB8FB16" w:rsidR="00A86626" w:rsidRPr="00061688" w:rsidRDefault="00A86626" w:rsidP="0016095C">
      <w:pPr>
        <w:rPr>
          <w:rFonts w:ascii="Franklin Gothic Book" w:hAnsi="Franklin Gothic Book"/>
        </w:rPr>
      </w:pPr>
      <w:r w:rsidRPr="00061688">
        <w:rPr>
          <w:rFonts w:ascii="Franklin Gothic Book" w:hAnsi="Franklin Gothic Book"/>
        </w:rPr>
        <w:t>September 12, 2025 </w:t>
      </w:r>
    </w:p>
    <w:p w14:paraId="711E077C" w14:textId="77777777" w:rsidR="00A86626" w:rsidRPr="00061688" w:rsidRDefault="00A86626" w:rsidP="0016095C">
      <w:pPr>
        <w:rPr>
          <w:rFonts w:ascii="Franklin Gothic Book" w:hAnsi="Franklin Gothic Book"/>
        </w:rPr>
      </w:pPr>
      <w:r w:rsidRPr="00061688">
        <w:rPr>
          <w:rFonts w:ascii="Franklin Gothic Book" w:hAnsi="Franklin Gothic Book"/>
        </w:rPr>
        <w:t> </w:t>
      </w:r>
    </w:p>
    <w:p w14:paraId="719DBBC2" w14:textId="77777777" w:rsidR="00AD1F0C" w:rsidRDefault="07D68AEC" w:rsidP="0016095C">
      <w:pPr>
        <w:rPr>
          <w:rFonts w:ascii="Franklin Gothic Book" w:hAnsi="Franklin Gothic Book"/>
        </w:rPr>
      </w:pPr>
      <w:r w:rsidRPr="00061688">
        <w:rPr>
          <w:rFonts w:ascii="Franklin Gothic Book" w:hAnsi="Franklin Gothic Book"/>
          <w:b/>
          <w:bCs/>
        </w:rPr>
        <w:t>RE:</w:t>
      </w:r>
      <w:r w:rsidRPr="00061688">
        <w:rPr>
          <w:rFonts w:ascii="Franklin Gothic Book" w:hAnsi="Franklin Gothic Book"/>
        </w:rPr>
        <w:t xml:space="preserve"> </w:t>
      </w:r>
      <w:r w:rsidRPr="00061688">
        <w:rPr>
          <w:rFonts w:ascii="Franklin Gothic Book" w:hAnsi="Franklin Gothic Book"/>
          <w:b/>
          <w:bCs/>
        </w:rPr>
        <w:t>Medicare and Medicaid Programs; CY 2026 Payment Policies Under the Physician Fee Schedule and Other Changes to Part B Payment and Coverage Policies; Medicare Shared Savings Program Requirements; and Medicare Prescription Drug Inflation Rebate Program</w:t>
      </w:r>
      <w:r w:rsidRPr="00061688">
        <w:rPr>
          <w:rFonts w:ascii="Franklin Gothic Book" w:hAnsi="Franklin Gothic Book"/>
        </w:rPr>
        <w:t> </w:t>
      </w:r>
    </w:p>
    <w:p w14:paraId="613C6D69" w14:textId="77777777" w:rsidR="00AD1F0C" w:rsidRDefault="00AD1F0C" w:rsidP="0016095C">
      <w:pPr>
        <w:rPr>
          <w:rFonts w:ascii="Franklin Gothic Book" w:hAnsi="Franklin Gothic Book"/>
        </w:rPr>
      </w:pPr>
    </w:p>
    <w:p w14:paraId="4EE1F6B8" w14:textId="4B38E881" w:rsidR="00A86626" w:rsidRPr="00061688" w:rsidRDefault="00A86626" w:rsidP="0016095C">
      <w:pPr>
        <w:rPr>
          <w:rFonts w:ascii="Franklin Gothic Book" w:hAnsi="Franklin Gothic Book"/>
        </w:rPr>
      </w:pPr>
      <w:r w:rsidRPr="00061688">
        <w:rPr>
          <w:rFonts w:ascii="Franklin Gothic Book" w:hAnsi="Franklin Gothic Book"/>
        </w:rPr>
        <w:t>Dear Administrator Oz: </w:t>
      </w:r>
    </w:p>
    <w:p w14:paraId="369EC4F3" w14:textId="77777777" w:rsidR="00C75AFB" w:rsidRPr="00061688" w:rsidRDefault="00C75AFB" w:rsidP="0016095C">
      <w:pPr>
        <w:rPr>
          <w:rFonts w:ascii="Franklin Gothic Book" w:hAnsi="Franklin Gothic Book"/>
        </w:rPr>
      </w:pPr>
    </w:p>
    <w:p w14:paraId="4DC2C5BD" w14:textId="223D2E82" w:rsidR="00A86626" w:rsidRPr="00061688" w:rsidRDefault="00A86626" w:rsidP="0016095C">
      <w:pPr>
        <w:rPr>
          <w:rFonts w:ascii="Franklin Gothic Book" w:hAnsi="Franklin Gothic Book"/>
        </w:rPr>
      </w:pPr>
      <w:r w:rsidRPr="00061688">
        <w:rPr>
          <w:rFonts w:ascii="Franklin Gothic Book" w:hAnsi="Franklin Gothic Book"/>
        </w:rPr>
        <w:t xml:space="preserve">On behalf of </w:t>
      </w:r>
      <w:r w:rsidR="00E02019" w:rsidRPr="00A10518">
        <w:rPr>
          <w:rFonts w:ascii="Franklin Gothic Book" w:hAnsi="Franklin Gothic Book"/>
          <w:highlight w:val="yellow"/>
        </w:rPr>
        <w:t xml:space="preserve">Insert </w:t>
      </w:r>
      <w:r w:rsidR="00E02019">
        <w:rPr>
          <w:rFonts w:ascii="Franklin Gothic Book" w:hAnsi="Franklin Gothic Book"/>
          <w:highlight w:val="yellow"/>
        </w:rPr>
        <w:t>y</w:t>
      </w:r>
      <w:r w:rsidR="00E02019" w:rsidRPr="00A10518">
        <w:rPr>
          <w:rFonts w:ascii="Franklin Gothic Book" w:hAnsi="Franklin Gothic Book"/>
          <w:highlight w:val="yellow"/>
        </w:rPr>
        <w:t xml:space="preserve">our </w:t>
      </w:r>
      <w:r w:rsidR="00E02019">
        <w:rPr>
          <w:rFonts w:ascii="Franklin Gothic Book" w:hAnsi="Franklin Gothic Book"/>
          <w:highlight w:val="yellow"/>
        </w:rPr>
        <w:t>o</w:t>
      </w:r>
      <w:r w:rsidR="00E02019" w:rsidRPr="00A10518">
        <w:rPr>
          <w:rFonts w:ascii="Franklin Gothic Book" w:hAnsi="Franklin Gothic Book"/>
          <w:highlight w:val="yellow"/>
        </w:rPr>
        <w:t>rganization</w:t>
      </w:r>
      <w:r w:rsidRPr="00061688">
        <w:rPr>
          <w:rFonts w:ascii="Franklin Gothic Book" w:hAnsi="Franklin Gothic Book"/>
        </w:rPr>
        <w:t>, we would like to thank you for this opportunity to provide comments on the proposed rule, “Medicare and Medicaid Programs; CY 2026 Payment Policies Under the Physician Fee Schedule and Other Changes to Part B Payment and Coverage Policies; Medicare Shared Savings Program Requirements; and Medicare Prescription Drug Inflation Rebate Program” and provide recommendations focused on food is medicine (FIM) interventions. </w:t>
      </w:r>
    </w:p>
    <w:p w14:paraId="6765CEB6" w14:textId="1F4545F2" w:rsidR="00F90547" w:rsidRDefault="00E02019" w:rsidP="0016095C">
      <w:pPr>
        <w:rPr>
          <w:rFonts w:ascii="Franklin Gothic Book" w:hAnsi="Franklin Gothic Book"/>
        </w:rPr>
      </w:pPr>
      <w:r w:rsidRPr="00A10518">
        <w:rPr>
          <w:rFonts w:ascii="Franklin Gothic Book" w:hAnsi="Franklin Gothic Book"/>
          <w:highlight w:val="yellow"/>
        </w:rPr>
        <w:t>Insert description of your organization</w:t>
      </w:r>
    </w:p>
    <w:p w14:paraId="598A8F44" w14:textId="6840117F" w:rsidR="00F90547" w:rsidRPr="00F90547" w:rsidRDefault="0004254E">
      <w:r w:rsidRPr="0004254E">
        <w:rPr>
          <w:rFonts w:ascii="Franklin Gothic Book" w:eastAsiaTheme="minorEastAsia" w:hAnsi="Franklin Gothic Book"/>
          <w:color w:val="000000" w:themeColor="text1"/>
        </w:rPr>
        <w:t xml:space="preserve"> </w:t>
      </w:r>
      <w:r w:rsidRPr="763A2FC4">
        <w:rPr>
          <w:rFonts w:ascii="Franklin Gothic Book" w:eastAsiaTheme="minorEastAsia" w:hAnsi="Franklin Gothic Book"/>
          <w:color w:val="000000" w:themeColor="text1"/>
        </w:rPr>
        <w:t>FIM interventions encompass a spectrum of nutrition services</w:t>
      </w:r>
      <w:r>
        <w:t>—</w:t>
      </w:r>
      <w:r w:rsidRPr="763A2FC4">
        <w:rPr>
          <w:rFonts w:ascii="Franklin Gothic Book" w:eastAsiaTheme="minorEastAsia" w:hAnsi="Franklin Gothic Book"/>
          <w:color w:val="000000" w:themeColor="text1"/>
        </w:rPr>
        <w:t>including medically tailored meals (MTMs), medically tailored groceries (MTGs), and produce prescriptions (</w:t>
      </w:r>
      <w:proofErr w:type="spellStart"/>
      <w:r w:rsidRPr="763A2FC4">
        <w:rPr>
          <w:rFonts w:ascii="Franklin Gothic Book" w:eastAsiaTheme="minorEastAsia" w:hAnsi="Franklin Gothic Book"/>
          <w:color w:val="000000" w:themeColor="text1"/>
        </w:rPr>
        <w:t>PRx</w:t>
      </w:r>
      <w:proofErr w:type="spellEnd"/>
      <w:r w:rsidRPr="763A2FC4">
        <w:rPr>
          <w:rFonts w:ascii="Franklin Gothic Book" w:eastAsiaTheme="minorEastAsia" w:hAnsi="Franklin Gothic Book"/>
          <w:color w:val="000000" w:themeColor="text1"/>
        </w:rPr>
        <w:t>)</w:t>
      </w:r>
      <w:r>
        <w:t>—</w:t>
      </w:r>
      <w:r w:rsidRPr="763A2FC4">
        <w:rPr>
          <w:rFonts w:ascii="Franklin Gothic Book" w:eastAsiaTheme="minorEastAsia" w:hAnsi="Franklin Gothic Book"/>
          <w:color w:val="000000" w:themeColor="text1"/>
        </w:rPr>
        <w:t>which are designed to meet patient needs and are integrated into the health care system through referrals from medical providers.</w:t>
      </w:r>
      <w:r w:rsidRPr="763A2FC4">
        <w:rPr>
          <w:rStyle w:val="EndnoteReference"/>
          <w:rFonts w:ascii="Franklin Gothic Book" w:eastAsiaTheme="minorEastAsia" w:hAnsi="Franklin Gothic Book"/>
          <w:color w:val="000000" w:themeColor="text1"/>
        </w:rPr>
        <w:endnoteReference w:id="1"/>
      </w:r>
      <w:r>
        <w:t xml:space="preserve"> </w:t>
      </w:r>
      <w:r w:rsidR="00E02019">
        <w:rPr>
          <w:rFonts w:ascii="Franklin Gothic Book" w:hAnsi="Franklin Gothic Book"/>
        </w:rPr>
        <w:t>We</w:t>
      </w:r>
      <w:r w:rsidR="002248D5" w:rsidRPr="5EBDB001">
        <w:rPr>
          <w:rFonts w:ascii="Franklin Gothic Book" w:hAnsi="Franklin Gothic Book"/>
        </w:rPr>
        <w:t xml:space="preserve"> are deeply appreciative of CMS’s leadership over the last decade to explore options to broaden access to evidence-based, FIM interventions in both the Medicaid and Medicare programs. </w:t>
      </w:r>
      <w:r w:rsidR="003C6579" w:rsidRPr="763A2FC4">
        <w:rPr>
          <w:rFonts w:ascii="Franklin Gothic Book" w:eastAsiaTheme="minorEastAsia" w:hAnsi="Franklin Gothic Book"/>
          <w:color w:val="000000" w:themeColor="text1"/>
        </w:rPr>
        <w:t xml:space="preserve">Diet-related chronic health conditions, including </w:t>
      </w:r>
      <w:hyperlink r:id="rId8" w:history="1">
        <w:r w:rsidR="002248D5" w:rsidRPr="763A2FC4">
          <w:rPr>
            <w:rStyle w:val="Hyperlink"/>
            <w:rFonts w:ascii="Franklin Gothic Book" w:eastAsiaTheme="minorEastAsia" w:hAnsi="Franklin Gothic Book"/>
          </w:rPr>
          <w:t xml:space="preserve">heart disease, cancer and </w:t>
        </w:r>
        <w:r w:rsidR="003C6579" w:rsidRPr="763A2FC4">
          <w:rPr>
            <w:rStyle w:val="Hyperlink"/>
            <w:rFonts w:ascii="Franklin Gothic Book" w:eastAsiaTheme="minorEastAsia" w:hAnsi="Franklin Gothic Book"/>
          </w:rPr>
          <w:t>diabetes</w:t>
        </w:r>
      </w:hyperlink>
      <w:r w:rsidR="002248D5" w:rsidRPr="763A2FC4">
        <w:rPr>
          <w:rFonts w:ascii="Franklin Gothic Book" w:eastAsiaTheme="minorEastAsia" w:hAnsi="Franklin Gothic Book"/>
          <w:color w:val="000000" w:themeColor="text1"/>
        </w:rPr>
        <w:t xml:space="preserve"> </w:t>
      </w:r>
      <w:r w:rsidR="003C6579" w:rsidRPr="763A2FC4">
        <w:rPr>
          <w:rFonts w:ascii="Franklin Gothic Book" w:eastAsiaTheme="minorEastAsia" w:hAnsi="Franklin Gothic Book"/>
          <w:color w:val="000000" w:themeColor="text1"/>
        </w:rPr>
        <w:t>are the leading cause of mortality and morbidity in the United States, contributing to the deaths of nearly 1.5 million people each year and accounting for approximately 85% of our $4.5 trillion in annual health care expenditures.</w:t>
      </w:r>
      <w:r w:rsidR="003C6579" w:rsidRPr="763A2FC4">
        <w:rPr>
          <w:rStyle w:val="EndnoteReference"/>
          <w:rFonts w:ascii="Franklin Gothic Book" w:eastAsiaTheme="minorEastAsia" w:hAnsi="Franklin Gothic Book"/>
          <w:color w:val="000000" w:themeColor="text1"/>
        </w:rPr>
        <w:endnoteReference w:id="2"/>
      </w:r>
      <w:r w:rsidR="003C6579" w:rsidRPr="763A2FC4">
        <w:rPr>
          <w:rFonts w:ascii="Franklin Gothic Book" w:eastAsiaTheme="minorEastAsia" w:hAnsi="Franklin Gothic Book"/>
          <w:color w:val="000000" w:themeColor="text1"/>
        </w:rPr>
        <w:t xml:space="preserve">  </w:t>
      </w:r>
      <w:r w:rsidR="00363843" w:rsidRPr="00363843">
        <w:rPr>
          <w:rFonts w:ascii="Franklin Gothic Book" w:eastAsia="Times New Roman" w:hAnsi="Franklin Gothic Book" w:cs="Times New Roman"/>
          <w:color w:val="000000" w:themeColor="text1"/>
        </w:rPr>
        <w:t xml:space="preserve">Poor nutrition is </w:t>
      </w:r>
      <w:r w:rsidR="00363843" w:rsidRPr="00363843">
        <w:rPr>
          <w:rFonts w:ascii="Franklin Gothic Book" w:eastAsia="Times New Roman" w:hAnsi="Franklin Gothic Book" w:cs="Times New Roman"/>
          <w:color w:val="000000"/>
        </w:rPr>
        <w:t xml:space="preserve">a leading, direct determinant of health – and as such, should be appropriately addressed by the health care system, similar to smoking, poor mental health, and substance use. </w:t>
      </w:r>
      <w:r w:rsidR="003C6579" w:rsidRPr="763A2FC4">
        <w:rPr>
          <w:rFonts w:ascii="Franklin Gothic Book" w:eastAsiaTheme="minorEastAsia" w:hAnsi="Franklin Gothic Book"/>
          <w:color w:val="000000" w:themeColor="text1"/>
        </w:rPr>
        <w:t xml:space="preserve">Food is Medicine (FIM) interventions have emerged as an important component of state and federal strategies to </w:t>
      </w:r>
      <w:r w:rsidR="5EBDB001" w:rsidRPr="763A2FC4">
        <w:rPr>
          <w:rFonts w:ascii="Franklin Gothic Book" w:eastAsiaTheme="minorEastAsia" w:hAnsi="Franklin Gothic Book"/>
          <w:color w:val="000000" w:themeColor="text1"/>
        </w:rPr>
        <w:t>address</w:t>
      </w:r>
      <w:r w:rsidR="003C6579" w:rsidRPr="763A2FC4">
        <w:rPr>
          <w:rFonts w:ascii="Franklin Gothic Book" w:eastAsiaTheme="minorEastAsia" w:hAnsi="Franklin Gothic Book"/>
          <w:color w:val="000000" w:themeColor="text1"/>
        </w:rPr>
        <w:t xml:space="preserve"> the root causes of chronic disease as well as rising health care costs and other multifaceted priorities.</w:t>
      </w:r>
      <w:r w:rsidR="003C6579" w:rsidRPr="763A2FC4">
        <w:rPr>
          <w:rStyle w:val="EndnoteReference"/>
          <w:rFonts w:ascii="Franklin Gothic Book" w:eastAsiaTheme="minorEastAsia" w:hAnsi="Franklin Gothic Book"/>
          <w:color w:val="000000" w:themeColor="text1"/>
        </w:rPr>
        <w:endnoteReference w:id="3"/>
      </w:r>
      <w:r w:rsidR="003C6579" w:rsidRPr="763A2FC4">
        <w:rPr>
          <w:rFonts w:ascii="Franklin Gothic Book" w:eastAsiaTheme="minorEastAsia" w:hAnsi="Franklin Gothic Book"/>
          <w:color w:val="000000" w:themeColor="text1"/>
        </w:rPr>
        <w:t xml:space="preserve"> </w:t>
      </w:r>
    </w:p>
    <w:p w14:paraId="730A758D" w14:textId="7BB5B697" w:rsidR="00363843" w:rsidRPr="00EA445C" w:rsidRDefault="003C6579" w:rsidP="24191063">
      <w:pPr>
        <w:rPr>
          <w:rFonts w:ascii="Franklin Gothic Book" w:eastAsia="Times New Roman" w:hAnsi="Franklin Gothic Book" w:cs="Times New Roman"/>
        </w:rPr>
      </w:pPr>
      <w:r w:rsidRPr="00363843">
        <w:rPr>
          <w:rFonts w:ascii="Franklin Gothic Book" w:eastAsia="Times New Roman" w:hAnsi="Franklin Gothic Book" w:cs="Times New Roman"/>
          <w:color w:val="000000"/>
        </w:rPr>
        <w:t xml:space="preserve">FIM interventions </w:t>
      </w:r>
      <w:r w:rsidRPr="00363843">
        <w:rPr>
          <w:rFonts w:ascii="Franklin Gothic Book" w:eastAsia="Times New Roman" w:hAnsi="Franklin Gothic Book" w:cs="Times New Roman"/>
        </w:rPr>
        <w:t>are distinct from</w:t>
      </w:r>
      <w:r w:rsidR="00F1094A">
        <w:rPr>
          <w:rFonts w:ascii="Franklin Gothic Book" w:eastAsia="Times New Roman" w:hAnsi="Franklin Gothic Book" w:cs="Times New Roman"/>
        </w:rPr>
        <w:t xml:space="preserve">, </w:t>
      </w:r>
      <w:r w:rsidRPr="00363843">
        <w:rPr>
          <w:rFonts w:ascii="Franklin Gothic Book" w:eastAsia="Times New Roman" w:hAnsi="Franklin Gothic Book" w:cs="Times New Roman"/>
        </w:rPr>
        <w:t xml:space="preserve">but complementary </w:t>
      </w:r>
      <w:proofErr w:type="gramStart"/>
      <w:r w:rsidRPr="00363843">
        <w:rPr>
          <w:rFonts w:ascii="Franklin Gothic Book" w:eastAsia="Times New Roman" w:hAnsi="Franklin Gothic Book" w:cs="Times New Roman"/>
        </w:rPr>
        <w:t>to</w:t>
      </w:r>
      <w:proofErr w:type="gramEnd"/>
      <w:r w:rsidR="00F90547">
        <w:rPr>
          <w:rFonts w:ascii="Franklin Gothic Book" w:eastAsia="Times New Roman" w:hAnsi="Franklin Gothic Book" w:cs="Times New Roman"/>
        </w:rPr>
        <w:t>,</w:t>
      </w:r>
      <w:r w:rsidRPr="00363843">
        <w:rPr>
          <w:rFonts w:ascii="Franklin Gothic Book" w:eastAsia="Times New Roman" w:hAnsi="Franklin Gothic Book" w:cs="Times New Roman"/>
          <w:color w:val="000000"/>
        </w:rPr>
        <w:t xml:space="preserve"> efforts to </w:t>
      </w:r>
      <w:r w:rsidRPr="00363843">
        <w:rPr>
          <w:rFonts w:ascii="Franklin Gothic Book" w:eastAsia="Times New Roman" w:hAnsi="Franklin Gothic Book" w:cs="Times New Roman"/>
        </w:rPr>
        <w:t>support</w:t>
      </w:r>
      <w:r w:rsidRPr="00363843">
        <w:rPr>
          <w:rFonts w:ascii="Franklin Gothic Book" w:eastAsia="Times New Roman" w:hAnsi="Franklin Gothic Book" w:cs="Times New Roman"/>
          <w:color w:val="000000"/>
        </w:rPr>
        <w:t xml:space="preserve"> enrollment or participation in federal and state safety </w:t>
      </w:r>
      <w:r w:rsidRPr="00EA445C">
        <w:rPr>
          <w:rFonts w:ascii="Franklin Gothic Book" w:eastAsia="Times New Roman" w:hAnsi="Franklin Gothic Book" w:cs="Times New Roman"/>
        </w:rPr>
        <w:t>net programs as well as programs that address social determinants of health (e.g., housing, education, transportation, social services). FIM directly responds to challenges with accessing and consuming foods</w:t>
      </w:r>
      <w:r w:rsidR="00EA445C" w:rsidRPr="00EA445C">
        <w:rPr>
          <w:rFonts w:ascii="Franklin Gothic Book" w:eastAsia="Times New Roman" w:hAnsi="Franklin Gothic Book" w:cs="Times New Roman"/>
        </w:rPr>
        <w:t xml:space="preserve"> that are indicated for </w:t>
      </w:r>
      <w:r w:rsidR="00EA445C" w:rsidRPr="00EA445C">
        <w:rPr>
          <w:rFonts w:ascii="Franklin Gothic Book" w:eastAsia="Times New Roman" w:hAnsi="Franklin Gothic Book" w:cs="Times New Roman"/>
        </w:rPr>
        <w:lastRenderedPageBreak/>
        <w:t>conditions</w:t>
      </w:r>
      <w:r w:rsidRPr="00EA445C">
        <w:rPr>
          <w:rFonts w:ascii="Franklin Gothic Book" w:eastAsia="Times New Roman" w:hAnsi="Franklin Gothic Book" w:cs="Times New Roman"/>
        </w:rPr>
        <w:t>, which are a major barrier to population adherence to dietary recommendations. FIM interventions also respond to public demand for participating in programs that provide healthy foods to prevent, manage, and treat many diseases.</w:t>
      </w:r>
      <w:r w:rsidRPr="00EA445C">
        <w:rPr>
          <w:rStyle w:val="EndnoteReference"/>
          <w:rFonts w:ascii="Franklin Gothic Book" w:eastAsia="Times New Roman" w:hAnsi="Franklin Gothic Book" w:cs="Times New Roman"/>
        </w:rPr>
        <w:endnoteReference w:id="4"/>
      </w:r>
      <w:r w:rsidRPr="00EA445C">
        <w:rPr>
          <w:rFonts w:ascii="Franklin Gothic Book" w:eastAsia="Times New Roman" w:hAnsi="Franklin Gothic Book" w:cs="Times New Roman"/>
        </w:rPr>
        <w:t xml:space="preserve">  </w:t>
      </w:r>
    </w:p>
    <w:p w14:paraId="45FDDA1D" w14:textId="5699AD7E" w:rsidR="00A86626" w:rsidRPr="00061688" w:rsidRDefault="5EBDB001" w:rsidP="0016095C">
      <w:pPr>
        <w:rPr>
          <w:rFonts w:ascii="Franklin Gothic Book" w:hAnsi="Franklin Gothic Book"/>
        </w:rPr>
      </w:pPr>
      <w:r w:rsidRPr="00EA445C">
        <w:rPr>
          <w:rFonts w:ascii="Franklin Gothic Book" w:hAnsi="Franklin Gothic Book"/>
        </w:rPr>
        <w:t xml:space="preserve">For the reasons detailed above, we applaud CMS’s inclusion of a Request </w:t>
      </w:r>
      <w:r w:rsidRPr="5EBDB001">
        <w:rPr>
          <w:rFonts w:ascii="Franklin Gothic Book" w:hAnsi="Franklin Gothic Book"/>
        </w:rPr>
        <w:t>for Information (RFI) regarding strategies to improve prevention and management of chronic disease—especially through the provision of MTMs—in the notice of proposed rulemaking for the CY 2026 Physician Fee Schedule. In response to the questions outlined in that RFI, we provide the following recommendations:</w:t>
      </w:r>
    </w:p>
    <w:p w14:paraId="49E06664" w14:textId="77777777" w:rsidR="00EE00F4" w:rsidRPr="00061688" w:rsidRDefault="00EE00F4" w:rsidP="0016095C">
      <w:pPr>
        <w:rPr>
          <w:rFonts w:ascii="Franklin Gothic Book" w:hAnsi="Franklin Gothic Book"/>
        </w:rPr>
      </w:pPr>
    </w:p>
    <w:p w14:paraId="18EF7E0E" w14:textId="0BF7826B" w:rsidR="00FD65FB" w:rsidRPr="00061688" w:rsidRDefault="00EE00F4" w:rsidP="0016095C">
      <w:pPr>
        <w:rPr>
          <w:rFonts w:ascii="Franklin Gothic Book" w:hAnsi="Franklin Gothic Book"/>
          <w:b/>
          <w:bCs/>
        </w:rPr>
      </w:pPr>
      <w:r w:rsidRPr="00061688">
        <w:rPr>
          <w:rFonts w:ascii="Franklin Gothic Book" w:hAnsi="Franklin Gothic Book"/>
          <w:b/>
          <w:bCs/>
        </w:rPr>
        <w:t>M</w:t>
      </w:r>
      <w:r w:rsidR="006623B9">
        <w:rPr>
          <w:rFonts w:ascii="Franklin Gothic Book" w:hAnsi="Franklin Gothic Book"/>
          <w:b/>
          <w:bCs/>
        </w:rPr>
        <w:t>edically Tailored Meals: T</w:t>
      </w:r>
      <w:r w:rsidRPr="00061688">
        <w:rPr>
          <w:rFonts w:ascii="Franklin Gothic Book" w:hAnsi="Franklin Gothic Book"/>
          <w:b/>
          <w:bCs/>
        </w:rPr>
        <w:t>he Evidence and Gaps in Access</w:t>
      </w:r>
    </w:p>
    <w:p w14:paraId="36A574DC" w14:textId="77777777" w:rsidR="00A86626" w:rsidRPr="00061688" w:rsidRDefault="00A86626" w:rsidP="0016095C">
      <w:pPr>
        <w:pStyle w:val="ListParagraph"/>
        <w:numPr>
          <w:ilvl w:val="0"/>
          <w:numId w:val="73"/>
        </w:numPr>
        <w:ind w:left="360"/>
        <w:contextualSpacing w:val="0"/>
        <w:rPr>
          <w:rFonts w:ascii="Franklin Gothic Book" w:hAnsi="Franklin Gothic Book"/>
        </w:rPr>
      </w:pPr>
      <w:r w:rsidRPr="00061688">
        <w:rPr>
          <w:rFonts w:ascii="Franklin Gothic Book" w:hAnsi="Franklin Gothic Book"/>
          <w:b/>
          <w:bCs/>
          <w:i/>
          <w:iCs/>
        </w:rPr>
        <w:t>Should CMS consider creating separate coding and payment for medically tailored meals, as an incident-to service performed under general supervision of a billing practitioner?</w:t>
      </w:r>
      <w:r w:rsidRPr="00061688">
        <w:rPr>
          <w:rFonts w:ascii="Franklin Gothic Book" w:hAnsi="Franklin Gothic Book"/>
        </w:rPr>
        <w:t> </w:t>
      </w:r>
    </w:p>
    <w:p w14:paraId="0480EC19" w14:textId="1CE1198E" w:rsidR="00A86626" w:rsidRPr="00085122" w:rsidRDefault="125C6173" w:rsidP="0016095C">
      <w:pPr>
        <w:rPr>
          <w:rFonts w:ascii="Franklin Gothic Book" w:hAnsi="Franklin Gothic Book"/>
        </w:rPr>
      </w:pPr>
      <w:r w:rsidRPr="125C6173">
        <w:rPr>
          <w:rFonts w:ascii="Franklin Gothic Book" w:hAnsi="Franklin Gothic Book"/>
        </w:rPr>
        <w:t>Yes, CMS should create separate coding and payment for medically tailored meals (MTMs) as an incident-to service performed under general supervision of a billing provider and consider allowing Registered Dietitian Nutritionists (RDNs) to bill directly for the MTM service when specific requirements are met. Such a change would both reflect current evidence of impact and address a critical gap in access to medically tailored nutrition in the Medicare program. </w:t>
      </w:r>
    </w:p>
    <w:p w14:paraId="74D89AB8" w14:textId="325CEEDD" w:rsidR="00A86626" w:rsidRPr="00085122" w:rsidRDefault="07D68AEC" w:rsidP="0016095C">
      <w:pPr>
        <w:pStyle w:val="ListParagraph"/>
        <w:numPr>
          <w:ilvl w:val="0"/>
          <w:numId w:val="6"/>
        </w:numPr>
        <w:rPr>
          <w:rFonts w:ascii="Franklin Gothic Book" w:hAnsi="Franklin Gothic Book"/>
          <w:b/>
          <w:bCs/>
        </w:rPr>
      </w:pPr>
      <w:r w:rsidRPr="00085122">
        <w:rPr>
          <w:rFonts w:ascii="Franklin Gothic Book" w:hAnsi="Franklin Gothic Book"/>
          <w:b/>
          <w:bCs/>
        </w:rPr>
        <w:t>Description of the intervention and evidence</w:t>
      </w:r>
    </w:p>
    <w:p w14:paraId="60EE3C31" w14:textId="0804F863" w:rsidR="00A86626" w:rsidRPr="005E5317" w:rsidRDefault="0004254E" w:rsidP="125C6173">
      <w:pPr>
        <w:rPr>
          <w:rFonts w:ascii="Franklin Gothic Book" w:hAnsi="Franklin Gothic Book"/>
        </w:rPr>
      </w:pPr>
      <w:r w:rsidRPr="5EBDB001">
        <w:rPr>
          <w:rFonts w:ascii="Franklin Gothic Book" w:hAnsi="Franklin Gothic Book"/>
        </w:rPr>
        <w:t xml:space="preserve">The </w:t>
      </w:r>
      <w:r>
        <w:rPr>
          <w:rFonts w:ascii="Franklin Gothic Book" w:hAnsi="Franklin Gothic Book"/>
        </w:rPr>
        <w:t xml:space="preserve">nonprofit agencies of the </w:t>
      </w:r>
      <w:hyperlink r:id="rId9">
        <w:r w:rsidRPr="5EBDB001">
          <w:rPr>
            <w:rStyle w:val="Hyperlink"/>
            <w:rFonts w:ascii="Franklin Gothic Book" w:hAnsi="Franklin Gothic Book"/>
          </w:rPr>
          <w:t>Food is Medicine Coalition</w:t>
        </w:r>
      </w:hyperlink>
      <w:r w:rsidRPr="5EBDB001">
        <w:rPr>
          <w:rFonts w:ascii="Franklin Gothic Book" w:hAnsi="Franklin Gothic Book"/>
        </w:rPr>
        <w:t xml:space="preserve"> (FIMC) created the MTM intervention as a response to community need 40 years ago and </w:t>
      </w:r>
      <w:r>
        <w:rPr>
          <w:rFonts w:ascii="Franklin Gothic Book" w:hAnsi="Franklin Gothic Book"/>
        </w:rPr>
        <w:t>have created</w:t>
      </w:r>
      <w:r w:rsidRPr="5EBDB001">
        <w:rPr>
          <w:rFonts w:ascii="Franklin Gothic Book" w:hAnsi="Franklin Gothic Book"/>
        </w:rPr>
        <w:t xml:space="preserve"> the </w:t>
      </w:r>
      <w:hyperlink r:id="rId10">
        <w:r w:rsidRPr="125C6173">
          <w:rPr>
            <w:rStyle w:val="Hyperlink"/>
            <w:rFonts w:ascii="Franklin Gothic Book" w:eastAsiaTheme="minorEastAsia" w:hAnsi="Franklin Gothic Book"/>
          </w:rPr>
          <w:t>first-ever accreditation standard for the medically tailored meal intervention:</w:t>
        </w:r>
      </w:hyperlink>
      <w:r w:rsidRPr="125C6173">
        <w:rPr>
          <w:rFonts w:ascii="Franklin Gothic Book" w:eastAsiaTheme="minorEastAsia" w:hAnsi="Franklin Gothic Book"/>
        </w:rPr>
        <w:t xml:space="preserve"> the FIMC Medically Tailored Meal Accreditation Criteria and Requirements (MTM ACR).</w:t>
      </w:r>
      <w:r w:rsidRPr="5EBDB001">
        <w:rPr>
          <w:rFonts w:ascii="Franklin Gothic Book" w:hAnsi="Franklin Gothic Book"/>
        </w:rPr>
        <w:t xml:space="preserve"> </w:t>
      </w:r>
      <w:r w:rsidR="00035918">
        <w:t xml:space="preserve">According to </w:t>
      </w:r>
      <w:r>
        <w:t>this standard and decades of practice</w:t>
      </w:r>
      <w:r w:rsidR="00035918">
        <w:t xml:space="preserve">, </w:t>
      </w:r>
      <w:hyperlink r:id="rId11" w:history="1">
        <w:r w:rsidR="07D68AEC" w:rsidRPr="00085122">
          <w:rPr>
            <w:rStyle w:val="Hyperlink"/>
            <w:rFonts w:ascii="Franklin Gothic Book" w:eastAsia="Aptos" w:hAnsi="Franklin Gothic Book" w:cs="Aptos"/>
          </w:rPr>
          <w:t>The Medically Tailored Meal (MTM) intervention</w:t>
        </w:r>
      </w:hyperlink>
      <w:r w:rsidR="07D68AEC" w:rsidRPr="00085122">
        <w:rPr>
          <w:rFonts w:ascii="Franklin Gothic Book" w:eastAsia="Aptos" w:hAnsi="Franklin Gothic Book" w:cs="Aptos"/>
        </w:rPr>
        <w:t xml:space="preserve"> is the comprehensive process of delivering meals to individuals living with severe, complex or chronic </w:t>
      </w:r>
      <w:r w:rsidR="21662357" w:rsidRPr="21662357">
        <w:rPr>
          <w:rFonts w:ascii="Franklin Gothic Book" w:eastAsia="Aptos" w:hAnsi="Franklin Gothic Book" w:cs="Aptos"/>
        </w:rPr>
        <w:t>condition(s)</w:t>
      </w:r>
      <w:r w:rsidR="07D68AEC" w:rsidRPr="00085122">
        <w:rPr>
          <w:rFonts w:ascii="Franklin Gothic Book" w:eastAsia="Aptos" w:hAnsi="Franklin Gothic Book" w:cs="Aptos"/>
        </w:rPr>
        <w:t xml:space="preserve"> using therapeutic, evidence-based dietary specifications for conditions, based on an assessment of the individual's nutrition needs by an RDN or other nutrition professional. </w:t>
      </w:r>
      <w:r w:rsidR="07D68AEC" w:rsidRPr="21662357">
        <w:rPr>
          <w:rFonts w:ascii="Franklin Gothic Book" w:hAnsi="Franklin Gothic Book"/>
        </w:rPr>
        <w:t xml:space="preserve">While </w:t>
      </w:r>
      <w:r w:rsidR="00035918">
        <w:rPr>
          <w:rFonts w:ascii="Franklin Gothic Book" w:hAnsi="Franklin Gothic Book"/>
        </w:rPr>
        <w:t>MTM</w:t>
      </w:r>
      <w:r w:rsidR="00035918" w:rsidRPr="21662357">
        <w:rPr>
          <w:rFonts w:ascii="Franklin Gothic Book" w:hAnsi="Franklin Gothic Book"/>
        </w:rPr>
        <w:t xml:space="preserve"> </w:t>
      </w:r>
      <w:r w:rsidR="07D68AEC" w:rsidRPr="21662357">
        <w:rPr>
          <w:rFonts w:ascii="Franklin Gothic Book" w:hAnsi="Franklin Gothic Book"/>
        </w:rPr>
        <w:t xml:space="preserve">agencies </w:t>
      </w:r>
      <w:r w:rsidR="0090499D">
        <w:rPr>
          <w:rFonts w:ascii="Franklin Gothic Book" w:hAnsi="Franklin Gothic Book"/>
        </w:rPr>
        <w:t>welcome referrals from a variety of sources,</w:t>
      </w:r>
      <w:r w:rsidR="07D68AEC" w:rsidRPr="21662357">
        <w:rPr>
          <w:rFonts w:ascii="Franklin Gothic Book" w:hAnsi="Franklin Gothic Book"/>
        </w:rPr>
        <w:t xml:space="preserve"> c</w:t>
      </w:r>
      <w:r w:rsidR="07D68AEC" w:rsidRPr="00085122">
        <w:rPr>
          <w:rFonts w:ascii="Franklin Gothic Book" w:hAnsi="Franklin Gothic Book"/>
        </w:rPr>
        <w:t>lient</w:t>
      </w:r>
      <w:r w:rsidR="00F90547">
        <w:rPr>
          <w:rFonts w:ascii="Franklin Gothic Book" w:hAnsi="Franklin Gothic Book"/>
        </w:rPr>
        <w:t xml:space="preserve"> eligibility is verified</w:t>
      </w:r>
      <w:r w:rsidR="07D68AEC" w:rsidRPr="00085122">
        <w:rPr>
          <w:rFonts w:ascii="Franklin Gothic Book" w:hAnsi="Franklin Gothic Book"/>
        </w:rPr>
        <w:t xml:space="preserve"> through the involvement of health care personnel </w:t>
      </w:r>
      <w:r w:rsidR="00322670" w:rsidRPr="00085122">
        <w:rPr>
          <w:rFonts w:ascii="Franklin Gothic Book" w:hAnsi="Franklin Gothic Book"/>
        </w:rPr>
        <w:t>by</w:t>
      </w:r>
      <w:r w:rsidR="07D68AEC" w:rsidRPr="00085122">
        <w:rPr>
          <w:rFonts w:ascii="Franklin Gothic Book" w:hAnsi="Franklin Gothic Book"/>
        </w:rPr>
        <w:t xml:space="preserve"> confirmation of m</w:t>
      </w:r>
      <w:r w:rsidR="07D68AEC" w:rsidRPr="00085122">
        <w:rPr>
          <w:rFonts w:ascii="Franklin Gothic Book" w:eastAsia="Aptos" w:hAnsi="Franklin Gothic Book" w:cs="Aptos"/>
        </w:rPr>
        <w:t xml:space="preserve">edical diagnoses </w:t>
      </w:r>
      <w:r w:rsidR="00322670" w:rsidRPr="00085122">
        <w:rPr>
          <w:rFonts w:ascii="Franklin Gothic Book" w:eastAsia="Aptos" w:hAnsi="Franklin Gothic Book" w:cs="Aptos"/>
        </w:rPr>
        <w:t>using</w:t>
      </w:r>
      <w:r w:rsidR="07D68AEC" w:rsidRPr="00085122">
        <w:rPr>
          <w:rFonts w:ascii="Franklin Gothic Book" w:eastAsia="Aptos" w:hAnsi="Franklin Gothic Book" w:cs="Aptos"/>
        </w:rPr>
        <w:t xml:space="preserve"> the most current </w:t>
      </w:r>
      <w:r w:rsidR="07D68AEC" w:rsidRPr="00085122">
        <w:rPr>
          <w:rFonts w:ascii="Franklin Gothic Book" w:eastAsia="Aptos" w:hAnsi="Franklin Gothic Book" w:cs="Aptos"/>
        </w:rPr>
        <w:t xml:space="preserve">International Classification of Diseases (ICD) diagnosis codes </w:t>
      </w:r>
      <w:r w:rsidR="07D68AEC" w:rsidRPr="00085122">
        <w:rPr>
          <w:rFonts w:ascii="Franklin Gothic Book" w:eastAsia="Aptos" w:hAnsi="Franklin Gothic Book" w:cs="Aptos"/>
        </w:rPr>
        <w:t xml:space="preserve">or medical necessity as </w:t>
      </w:r>
      <w:r w:rsidR="07D68AEC" w:rsidRPr="125C6173">
        <w:rPr>
          <w:rFonts w:ascii="Franklin Gothic Book" w:eastAsiaTheme="minorEastAsia" w:hAnsi="Franklin Gothic Book"/>
        </w:rPr>
        <w:t xml:space="preserve">determined by health care authorization. Once the eligibility assessment is complete, an intake and nutrition risk screening is conducted by the MTM provider. </w:t>
      </w:r>
      <w:r w:rsidR="00322670" w:rsidRPr="125C6173">
        <w:rPr>
          <w:rFonts w:ascii="Franklin Gothic Book" w:eastAsiaTheme="minorEastAsia" w:hAnsi="Franklin Gothic Book"/>
        </w:rPr>
        <w:t>After</w:t>
      </w:r>
      <w:r w:rsidR="07D68AEC" w:rsidRPr="125C6173">
        <w:rPr>
          <w:rFonts w:ascii="Franklin Gothic Book" w:eastAsiaTheme="minorEastAsia" w:hAnsi="Franklin Gothic Book"/>
        </w:rPr>
        <w:t xml:space="preserve"> </w:t>
      </w:r>
      <w:proofErr w:type="gramStart"/>
      <w:r w:rsidR="07D68AEC" w:rsidRPr="125C6173">
        <w:rPr>
          <w:rFonts w:ascii="Franklin Gothic Book" w:eastAsiaTheme="minorEastAsia" w:hAnsi="Franklin Gothic Book"/>
        </w:rPr>
        <w:t>onboard</w:t>
      </w:r>
      <w:r w:rsidR="00322670" w:rsidRPr="125C6173">
        <w:rPr>
          <w:rFonts w:ascii="Franklin Gothic Book" w:eastAsiaTheme="minorEastAsia" w:hAnsi="Franklin Gothic Book"/>
        </w:rPr>
        <w:t>ing</w:t>
      </w:r>
      <w:proofErr w:type="gramEnd"/>
      <w:r w:rsidR="07D68AEC" w:rsidRPr="125C6173">
        <w:rPr>
          <w:rFonts w:ascii="Franklin Gothic Book" w:eastAsiaTheme="minorEastAsia" w:hAnsi="Franklin Gothic Book"/>
        </w:rPr>
        <w:t>, an RDN or other nutrition professional</w:t>
      </w:r>
      <w:r w:rsidR="00A86626" w:rsidRPr="125C6173">
        <w:rPr>
          <w:rStyle w:val="EndnoteReference"/>
          <w:rFonts w:ascii="Franklin Gothic Book" w:eastAsiaTheme="minorEastAsia" w:hAnsi="Franklin Gothic Book"/>
        </w:rPr>
        <w:endnoteReference w:id="5"/>
      </w:r>
      <w:r w:rsidR="07D68AEC" w:rsidRPr="125C6173">
        <w:rPr>
          <w:rFonts w:ascii="Franklin Gothic Book" w:eastAsiaTheme="minorEastAsia" w:hAnsi="Franklin Gothic Book"/>
        </w:rPr>
        <w:t xml:space="preserve"> conducts a nutrition assessment, which leads to the determination of </w:t>
      </w:r>
      <w:r w:rsidR="0090499D" w:rsidRPr="125C6173">
        <w:rPr>
          <w:rFonts w:ascii="Franklin Gothic Book" w:eastAsiaTheme="minorEastAsia" w:hAnsi="Franklin Gothic Book"/>
        </w:rPr>
        <w:t xml:space="preserve">the </w:t>
      </w:r>
      <w:r w:rsidR="07D68AEC" w:rsidRPr="125C6173">
        <w:rPr>
          <w:rFonts w:ascii="Franklin Gothic Book" w:eastAsiaTheme="minorEastAsia" w:hAnsi="Franklin Gothic Book"/>
        </w:rPr>
        <w:t xml:space="preserve">meal and care plan tailored for the specific circumstances of the client. </w:t>
      </w:r>
      <w:r w:rsidR="07D68AEC" w:rsidRPr="00085122">
        <w:rPr>
          <w:rFonts w:ascii="Franklin Gothic Book" w:hAnsi="Franklin Gothic Book"/>
        </w:rPr>
        <w:t>Meals are prepared by the provider</w:t>
      </w:r>
      <w:r w:rsidR="21662357" w:rsidRPr="21662357">
        <w:rPr>
          <w:rFonts w:ascii="Franklin Gothic Book" w:hAnsi="Franklin Gothic Book"/>
        </w:rPr>
        <w:t xml:space="preserve"> organization</w:t>
      </w:r>
      <w:r w:rsidR="07D68AEC" w:rsidRPr="00085122">
        <w:rPr>
          <w:rFonts w:ascii="Franklin Gothic Book" w:hAnsi="Franklin Gothic Book"/>
        </w:rPr>
        <w:t>,</w:t>
      </w:r>
      <w:r w:rsidR="00AE3760">
        <w:rPr>
          <w:rFonts w:ascii="Franklin Gothic Book" w:hAnsi="Franklin Gothic Book"/>
        </w:rPr>
        <w:t xml:space="preserve"> prioritizing</w:t>
      </w:r>
      <w:r w:rsidR="24191063" w:rsidRPr="24191063">
        <w:rPr>
          <w:rFonts w:ascii="Franklin Gothic Book" w:hAnsi="Franklin Gothic Book"/>
        </w:rPr>
        <w:t xml:space="preserve"> whole ingredients</w:t>
      </w:r>
      <w:r w:rsidR="005E5317">
        <w:t>—</w:t>
      </w:r>
      <w:r w:rsidR="24191063" w:rsidRPr="24191063">
        <w:rPr>
          <w:rFonts w:ascii="Franklin Gothic Book" w:hAnsi="Franklin Gothic Book"/>
        </w:rPr>
        <w:t>like produce, whole grains, and lean proteins</w:t>
      </w:r>
      <w:r w:rsidR="005E5317">
        <w:t xml:space="preserve">— and </w:t>
      </w:r>
      <w:r w:rsidR="07D68AEC" w:rsidRPr="00085122">
        <w:rPr>
          <w:rFonts w:ascii="Franklin Gothic Book" w:hAnsi="Franklin Gothic Book"/>
        </w:rPr>
        <w:t xml:space="preserve">free from artificial preservatives, </w:t>
      </w:r>
      <w:r w:rsidR="24191063" w:rsidRPr="24191063">
        <w:rPr>
          <w:rFonts w:ascii="Franklin Gothic Book" w:hAnsi="Franklin Gothic Book"/>
        </w:rPr>
        <w:t xml:space="preserve">artificial </w:t>
      </w:r>
      <w:r w:rsidR="07D68AEC" w:rsidRPr="00085122">
        <w:rPr>
          <w:rFonts w:ascii="Franklin Gothic Book" w:hAnsi="Franklin Gothic Book"/>
        </w:rPr>
        <w:t>color</w:t>
      </w:r>
      <w:r w:rsidR="21662357" w:rsidRPr="21662357">
        <w:rPr>
          <w:rFonts w:ascii="Franklin Gothic Book" w:hAnsi="Franklin Gothic Book"/>
        </w:rPr>
        <w:t>s</w:t>
      </w:r>
      <w:r w:rsidR="07D68AEC" w:rsidRPr="00085122">
        <w:rPr>
          <w:rFonts w:ascii="Franklin Gothic Book" w:hAnsi="Franklin Gothic Book"/>
        </w:rPr>
        <w:t>, and</w:t>
      </w:r>
      <w:r w:rsidR="24191063" w:rsidRPr="24191063">
        <w:rPr>
          <w:rFonts w:ascii="Franklin Gothic Book" w:hAnsi="Franklin Gothic Book"/>
        </w:rPr>
        <w:t xml:space="preserve"> artificial</w:t>
      </w:r>
      <w:r w:rsidR="07D68AEC" w:rsidRPr="00085122">
        <w:rPr>
          <w:rFonts w:ascii="Franklin Gothic Book" w:hAnsi="Franklin Gothic Book"/>
        </w:rPr>
        <w:t xml:space="preserve"> sweeteners</w:t>
      </w:r>
      <w:r w:rsidR="005E5317">
        <w:rPr>
          <w:rFonts w:ascii="Franklin Gothic Book" w:hAnsi="Franklin Gothic Book"/>
        </w:rPr>
        <w:t xml:space="preserve">. Meals </w:t>
      </w:r>
      <w:r w:rsidR="07D68AEC" w:rsidRPr="00085122">
        <w:rPr>
          <w:rFonts w:ascii="Franklin Gothic Book" w:hAnsi="Franklin Gothic Book"/>
        </w:rPr>
        <w:t xml:space="preserve">are home-delivered, shipped or available for pick-up. The client is reassessed for eligibility and </w:t>
      </w:r>
      <w:proofErr w:type="gramStart"/>
      <w:r w:rsidR="07D68AEC" w:rsidRPr="00085122">
        <w:rPr>
          <w:rFonts w:ascii="Franklin Gothic Book" w:hAnsi="Franklin Gothic Book"/>
        </w:rPr>
        <w:t>nutrition</w:t>
      </w:r>
      <w:proofErr w:type="gramEnd"/>
      <w:r w:rsidR="07D68AEC" w:rsidRPr="00085122">
        <w:rPr>
          <w:rFonts w:ascii="Franklin Gothic Book" w:hAnsi="Franklin Gothic Book"/>
        </w:rPr>
        <w:t xml:space="preserve"> need at least annually. Importantly, the client has ongoing access to medical nutrition therapy, nutrition counseling, and nutrition education</w:t>
      </w:r>
      <w:r w:rsidR="00322670" w:rsidRPr="00085122">
        <w:rPr>
          <w:rFonts w:ascii="Franklin Gothic Book" w:hAnsi="Franklin Gothic Book"/>
        </w:rPr>
        <w:t xml:space="preserve"> throughout the term of service.</w:t>
      </w:r>
    </w:p>
    <w:p w14:paraId="4FB22CA7" w14:textId="41B99959" w:rsidR="00F1094A" w:rsidRPr="00085122" w:rsidRDefault="125C6173" w:rsidP="0016095C">
      <w:pPr>
        <w:rPr>
          <w:rFonts w:ascii="Franklin Gothic Book" w:hAnsi="Franklin Gothic Book"/>
        </w:rPr>
      </w:pPr>
      <w:r w:rsidRPr="125C6173">
        <w:rPr>
          <w:rFonts w:ascii="Franklin Gothic Book" w:hAnsi="Franklin Gothic Book"/>
        </w:rPr>
        <w:lastRenderedPageBreak/>
        <w:t xml:space="preserve">A growing body of </w:t>
      </w:r>
      <w:hyperlink r:id="rId12">
        <w:r w:rsidRPr="125C6173">
          <w:rPr>
            <w:rStyle w:val="Hyperlink"/>
            <w:rFonts w:ascii="Franklin Gothic Book" w:hAnsi="Franklin Gothic Book"/>
          </w:rPr>
          <w:t xml:space="preserve">evidence </w:t>
        </w:r>
      </w:hyperlink>
      <w:r w:rsidRPr="125C6173">
        <w:rPr>
          <w:rFonts w:ascii="Franklin Gothic Book" w:hAnsi="Franklin Gothic Book"/>
        </w:rPr>
        <w:t xml:space="preserve">demonstrates that the MTM intervention is a cost-effective approach to treating, managing, and/or preventing severe, complex and chronic disease(s) which are often diet-related, with research showing impacts across a range of nutrition (e.g., dietary intake/quality), clinical (e.g., HbA1c), and health care utilization metrics (e.g., hospitalizations). Specifically, recent studies show the following results: </w:t>
      </w:r>
    </w:p>
    <w:p w14:paraId="655F920C" w14:textId="767F4760" w:rsidR="7314A9F3" w:rsidRPr="00222A3A" w:rsidRDefault="21662357" w:rsidP="7314A9F3">
      <w:pPr>
        <w:pStyle w:val="ListParagraph"/>
        <w:numPr>
          <w:ilvl w:val="0"/>
          <w:numId w:val="80"/>
        </w:numPr>
        <w:rPr>
          <w:rFonts w:ascii="Franklin Gothic Book" w:hAnsi="Franklin Gothic Book" w:cs="Times New Roman"/>
        </w:rPr>
      </w:pPr>
      <w:r w:rsidRPr="00222A3A">
        <w:rPr>
          <w:rFonts w:ascii="Franklin Gothic Book" w:hAnsi="Franklin Gothic Book" w:cs="Times New Roman"/>
          <w:b/>
          <w:bCs/>
        </w:rPr>
        <w:t xml:space="preserve">Three </w:t>
      </w:r>
      <w:r w:rsidR="00AE3760" w:rsidRPr="00222A3A">
        <w:rPr>
          <w:rFonts w:ascii="Franklin Gothic Book" w:hAnsi="Franklin Gothic Book" w:cs="Times New Roman"/>
          <w:b/>
          <w:bCs/>
        </w:rPr>
        <w:t>separate</w:t>
      </w:r>
      <w:r w:rsidRPr="00222A3A">
        <w:rPr>
          <w:rFonts w:ascii="Franklin Gothic Book" w:hAnsi="Franklin Gothic Book" w:cs="Times New Roman"/>
          <w:b/>
          <w:bCs/>
        </w:rPr>
        <w:t xml:space="preserve"> randomized controlled trials</w:t>
      </w:r>
      <w:r w:rsidRPr="21662357">
        <w:rPr>
          <w:rFonts w:ascii="Franklin Gothic Book" w:hAnsi="Franklin Gothic Book" w:cs="Times New Roman"/>
        </w:rPr>
        <w:t xml:space="preserve"> providing </w:t>
      </w:r>
      <w:r w:rsidR="00222A3A">
        <w:rPr>
          <w:rFonts w:ascii="Franklin Gothic Book" w:hAnsi="Franklin Gothic Book" w:cs="Times New Roman"/>
        </w:rPr>
        <w:t>medically tailored meals</w:t>
      </w:r>
      <w:r w:rsidRPr="21662357">
        <w:rPr>
          <w:rFonts w:ascii="Franklin Gothic Book" w:hAnsi="Franklin Gothic Book" w:cs="Times New Roman"/>
        </w:rPr>
        <w:t xml:space="preserve"> to </w:t>
      </w:r>
      <w:r w:rsidRPr="00222A3A">
        <w:rPr>
          <w:rFonts w:ascii="Franklin Gothic Book" w:hAnsi="Franklin Gothic Book" w:cs="Times New Roman"/>
          <w:b/>
          <w:bCs/>
        </w:rPr>
        <w:t>patients with heart failure</w:t>
      </w:r>
      <w:r w:rsidRPr="00222A3A">
        <w:rPr>
          <w:rFonts w:ascii="Franklin Gothic Book" w:hAnsi="Franklin Gothic Book" w:cs="Times New Roman"/>
        </w:rPr>
        <w:t xml:space="preserve"> (ranging from 1 – 6 months) all found ~ </w:t>
      </w:r>
      <w:r w:rsidRPr="00222A3A">
        <w:rPr>
          <w:rFonts w:ascii="Franklin Gothic Book" w:hAnsi="Franklin Gothic Book" w:cs="Times New Roman"/>
          <w:b/>
          <w:bCs/>
        </w:rPr>
        <w:t>50% reduction in hospitalizations</w:t>
      </w:r>
      <w:r w:rsidRPr="00222A3A">
        <w:rPr>
          <w:rFonts w:ascii="Franklin Gothic Book" w:hAnsi="Franklin Gothic Book" w:cs="Times New Roman"/>
        </w:rPr>
        <w:t xml:space="preserve"> among those receiving MTMs.</w:t>
      </w:r>
      <w:r w:rsidR="00C2146A">
        <w:rPr>
          <w:rStyle w:val="EndnoteReference"/>
          <w:rFonts w:ascii="Franklin Gothic Book" w:hAnsi="Franklin Gothic Book" w:cs="Times New Roman"/>
        </w:rPr>
        <w:endnoteReference w:id="6"/>
      </w:r>
      <w:r w:rsidR="24191063" w:rsidRPr="24191063">
        <w:rPr>
          <w:rFonts w:ascii="Franklin Gothic Book" w:hAnsi="Franklin Gothic Book" w:cs="Times New Roman"/>
          <w:vertAlign w:val="superscript"/>
        </w:rPr>
        <w:t>,</w:t>
      </w:r>
      <w:r w:rsidRPr="24191063">
        <w:rPr>
          <w:rStyle w:val="EndnoteReference"/>
          <w:rFonts w:ascii="Franklin Gothic Book" w:hAnsi="Franklin Gothic Book" w:cs="Times New Roman"/>
        </w:rPr>
        <w:endnoteReference w:id="7"/>
      </w:r>
      <w:r w:rsidR="24191063" w:rsidRPr="24191063">
        <w:rPr>
          <w:rFonts w:ascii="Franklin Gothic Book" w:hAnsi="Franklin Gothic Book" w:cs="Times New Roman"/>
          <w:vertAlign w:val="superscript"/>
        </w:rPr>
        <w:t>,</w:t>
      </w:r>
      <w:r w:rsidRPr="24191063">
        <w:rPr>
          <w:rStyle w:val="EndnoteReference"/>
          <w:rFonts w:ascii="Franklin Gothic Book" w:hAnsi="Franklin Gothic Book" w:cs="Times New Roman"/>
        </w:rPr>
        <w:endnoteReference w:id="8"/>
      </w:r>
    </w:p>
    <w:p w14:paraId="4867F9CC" w14:textId="77777777" w:rsidR="005E5317" w:rsidRDefault="1A9073F1" w:rsidP="005E5317">
      <w:pPr>
        <w:pStyle w:val="ListParagraph"/>
        <w:numPr>
          <w:ilvl w:val="0"/>
          <w:numId w:val="80"/>
        </w:numPr>
        <w:rPr>
          <w:rFonts w:ascii="Franklin Gothic Book" w:eastAsia="Aptos" w:hAnsi="Franklin Gothic Book" w:cs="Aptos"/>
          <w:color w:val="000000" w:themeColor="text1"/>
        </w:rPr>
      </w:pPr>
      <w:r w:rsidRPr="00222A3A">
        <w:rPr>
          <w:rFonts w:ascii="Franklin Gothic Book" w:eastAsia="Aptos" w:hAnsi="Franklin Gothic Book" w:cs="Aptos"/>
          <w:color w:val="000000" w:themeColor="text1"/>
        </w:rPr>
        <w:t xml:space="preserve">A </w:t>
      </w:r>
      <w:r w:rsidRPr="00142B81">
        <w:rPr>
          <w:rFonts w:ascii="Franklin Gothic Book" w:eastAsia="Aptos" w:hAnsi="Franklin Gothic Book" w:cs="Aptos"/>
          <w:b/>
          <w:bCs/>
          <w:color w:val="000000" w:themeColor="text1"/>
        </w:rPr>
        <w:t>6-month program for HIV patients found an 80% reduction in hospitalizations</w:t>
      </w:r>
      <w:r w:rsidR="00222A3A">
        <w:rPr>
          <w:rFonts w:ascii="Franklin Gothic Book" w:eastAsia="Aptos" w:hAnsi="Franklin Gothic Book" w:cs="Aptos"/>
          <w:color w:val="000000" w:themeColor="text1"/>
        </w:rPr>
        <w:t>.</w:t>
      </w:r>
      <w:r w:rsidR="00222A3A">
        <w:rPr>
          <w:rStyle w:val="EndnoteReference"/>
          <w:rFonts w:ascii="Franklin Gothic Book" w:eastAsia="Aptos" w:hAnsi="Franklin Gothic Book" w:cs="Aptos"/>
          <w:color w:val="000000" w:themeColor="text1"/>
        </w:rPr>
        <w:endnoteReference w:id="9"/>
      </w:r>
    </w:p>
    <w:p w14:paraId="124FFAA7" w14:textId="311331BD" w:rsidR="7314A9F3" w:rsidRPr="005E5317" w:rsidRDefault="7314A9F3" w:rsidP="005E5317">
      <w:pPr>
        <w:pStyle w:val="ListParagraph"/>
        <w:numPr>
          <w:ilvl w:val="0"/>
          <w:numId w:val="80"/>
        </w:numPr>
        <w:rPr>
          <w:rStyle w:val="EndnoteReference"/>
          <w:rFonts w:ascii="Franklin Gothic Book" w:eastAsia="Aptos" w:hAnsi="Franklin Gothic Book" w:cs="Aptos"/>
          <w:color w:val="000000" w:themeColor="text1"/>
          <w:vertAlign w:val="baseline"/>
        </w:rPr>
      </w:pPr>
      <w:r w:rsidRPr="005E5317">
        <w:rPr>
          <w:rFonts w:ascii="Franklin Gothic Book" w:hAnsi="Franklin Gothic Book" w:cs="Times New Roman"/>
        </w:rPr>
        <w:t xml:space="preserve">Among a sample of </w:t>
      </w:r>
      <w:r w:rsidRPr="005E5317">
        <w:rPr>
          <w:rFonts w:ascii="Franklin Gothic Book" w:hAnsi="Franklin Gothic Book" w:cs="Times New Roman"/>
          <w:b/>
          <w:bCs/>
        </w:rPr>
        <w:t>dually eligible Medicare and Medicaid beneficiaries</w:t>
      </w:r>
      <w:r w:rsidRPr="005E5317">
        <w:rPr>
          <w:rFonts w:ascii="Franklin Gothic Book" w:hAnsi="Franklin Gothic Book" w:cs="Times New Roman"/>
        </w:rPr>
        <w:t xml:space="preserve">, home delivery of medically tailored meals (10 weekly meals, plus snacks) was associated with </w:t>
      </w:r>
      <w:r w:rsidRPr="005E5317">
        <w:rPr>
          <w:rFonts w:ascii="Franklin Gothic Book" w:hAnsi="Franklin Gothic Book" w:cs="Times New Roman"/>
          <w:b/>
          <w:bCs/>
        </w:rPr>
        <w:t xml:space="preserve">70% fewer emergency department visits, </w:t>
      </w:r>
      <w:r w:rsidRPr="005E5317">
        <w:rPr>
          <w:rFonts w:ascii="Franklin Gothic Book" w:hAnsi="Franklin Gothic Book"/>
          <w:b/>
          <w:bCs/>
        </w:rPr>
        <w:t>72% fewer uses of emergency transportation, 52% fewer inpatient admissions, and 16% net lower health care costs</w:t>
      </w:r>
      <w:r w:rsidRPr="005E5317">
        <w:rPr>
          <w:rFonts w:ascii="Franklin Gothic Book" w:hAnsi="Franklin Gothic Book" w:cs="Times New Roman"/>
        </w:rPr>
        <w:t xml:space="preserve"> compared to matched nonparticipants. Importantly,</w:t>
      </w:r>
      <w:r w:rsidRPr="005E5317">
        <w:rPr>
          <w:rFonts w:ascii="Franklin Gothic Book" w:hAnsi="Franklin Gothic Book" w:cs="Times New Roman"/>
          <w:b/>
          <w:bCs/>
        </w:rPr>
        <w:t xml:space="preserve"> healthcare cost reductions were estimated to offset meal program costs, resulting in cost savings</w:t>
      </w:r>
      <w:r w:rsidRPr="005E5317">
        <w:rPr>
          <w:rFonts w:ascii="Franklin Gothic Book" w:hAnsi="Franklin Gothic Book" w:cs="Times New Roman"/>
        </w:rPr>
        <w:t>.</w:t>
      </w:r>
      <w:r w:rsidRPr="00222A3A">
        <w:rPr>
          <w:rStyle w:val="EndnoteReference"/>
          <w:rFonts w:ascii="Franklin Gothic Book" w:hAnsi="Franklin Gothic Book" w:cs="Times New Roman"/>
        </w:rPr>
        <w:endnoteReference w:id="10"/>
      </w:r>
      <w:r w:rsidRPr="005E5317">
        <w:rPr>
          <w:rStyle w:val="EndnoteReference"/>
          <w:rFonts w:ascii="Franklin Gothic Book" w:hAnsi="Franklin Gothic Book" w:cs="Times New Roman"/>
        </w:rPr>
        <w:t xml:space="preserve"> </w:t>
      </w:r>
    </w:p>
    <w:p w14:paraId="0357B1CE" w14:textId="689336EC" w:rsidR="00AE3760" w:rsidRPr="00222A3A" w:rsidRDefault="1A9073F1" w:rsidP="2977167F">
      <w:pPr>
        <w:pStyle w:val="ListParagraph"/>
        <w:numPr>
          <w:ilvl w:val="0"/>
          <w:numId w:val="80"/>
        </w:numPr>
        <w:rPr>
          <w:rFonts w:ascii="Franklin Gothic Book" w:hAnsi="Franklin Gothic Book" w:cs="Times New Roman"/>
        </w:rPr>
      </w:pPr>
      <w:r w:rsidRPr="00222A3A">
        <w:rPr>
          <w:rFonts w:ascii="Franklin Gothic Book" w:eastAsia="Aptos" w:hAnsi="Franklin Gothic Book" w:cs="Aptos"/>
          <w:color w:val="000000" w:themeColor="text1"/>
          <w:lang w:val="en"/>
        </w:rPr>
        <w:t xml:space="preserve">For patients with </w:t>
      </w:r>
      <w:r w:rsidRPr="00142B81">
        <w:rPr>
          <w:rFonts w:ascii="Franklin Gothic Book" w:eastAsia="Aptos" w:hAnsi="Franklin Gothic Book" w:cs="Aptos"/>
          <w:b/>
          <w:bCs/>
          <w:color w:val="000000" w:themeColor="text1"/>
          <w:lang w:val="en"/>
        </w:rPr>
        <w:t xml:space="preserve">cirrhosis with ascites, a randomized trial </w:t>
      </w:r>
      <w:r w:rsidRPr="00222A3A">
        <w:rPr>
          <w:rFonts w:ascii="Franklin Gothic Book" w:eastAsia="Aptos" w:hAnsi="Franklin Gothic Book" w:cs="Aptos"/>
          <w:color w:val="000000" w:themeColor="text1"/>
          <w:lang w:val="en"/>
        </w:rPr>
        <w:t xml:space="preserve">providing MTMs for 12-weeks </w:t>
      </w:r>
      <w:r w:rsidRPr="00142B81">
        <w:rPr>
          <w:rFonts w:ascii="Franklin Gothic Book" w:eastAsia="Aptos" w:hAnsi="Franklin Gothic Book" w:cs="Aptos"/>
          <w:b/>
          <w:bCs/>
          <w:color w:val="000000" w:themeColor="text1"/>
          <w:lang w:val="en"/>
        </w:rPr>
        <w:t>reduced the number of paracenteses and reduced mortality</w:t>
      </w:r>
      <w:r w:rsidRPr="00222A3A">
        <w:rPr>
          <w:rFonts w:ascii="Franklin Gothic Book" w:eastAsia="Aptos" w:hAnsi="Franklin Gothic Book" w:cs="Aptos"/>
          <w:color w:val="000000" w:themeColor="text1"/>
          <w:lang w:val="en"/>
        </w:rPr>
        <w:t>.</w:t>
      </w:r>
      <w:r w:rsidR="00222A3A">
        <w:rPr>
          <w:rStyle w:val="EndnoteReference"/>
          <w:rFonts w:ascii="Franklin Gothic Book" w:eastAsia="Aptos" w:hAnsi="Franklin Gothic Book" w:cs="Aptos"/>
          <w:color w:val="000000" w:themeColor="text1"/>
          <w:lang w:val="en"/>
        </w:rPr>
        <w:endnoteReference w:id="11"/>
      </w:r>
      <w:r w:rsidRPr="00222A3A">
        <w:rPr>
          <w:rFonts w:ascii="Franklin Gothic Book" w:eastAsia="Aptos" w:hAnsi="Franklin Gothic Book" w:cs="Aptos"/>
          <w:color w:val="000000" w:themeColor="text1"/>
          <w:lang w:val="en"/>
        </w:rPr>
        <w:t xml:space="preserve"> </w:t>
      </w:r>
    </w:p>
    <w:p w14:paraId="72493A6C" w14:textId="1D1CDDAD" w:rsidR="00F1094A" w:rsidRPr="00085122" w:rsidRDefault="00F1094A" w:rsidP="2977167F">
      <w:pPr>
        <w:pStyle w:val="ListParagraph"/>
        <w:numPr>
          <w:ilvl w:val="0"/>
          <w:numId w:val="80"/>
        </w:numPr>
        <w:rPr>
          <w:rFonts w:ascii="Franklin Gothic Book" w:hAnsi="Franklin Gothic Book" w:cs="Times New Roman"/>
        </w:rPr>
      </w:pPr>
      <w:r w:rsidRPr="00222A3A">
        <w:rPr>
          <w:rFonts w:ascii="Franklin Gothic Book" w:hAnsi="Franklin Gothic Book" w:cs="Times New Roman"/>
        </w:rPr>
        <w:t xml:space="preserve">A cohort study of 1,020 </w:t>
      </w:r>
      <w:r w:rsidRPr="00222A3A">
        <w:rPr>
          <w:rFonts w:ascii="Franklin Gothic Book" w:hAnsi="Franklin Gothic Book" w:cs="Times New Roman"/>
          <w:b/>
          <w:bCs/>
        </w:rPr>
        <w:t>medically complex adults</w:t>
      </w:r>
      <w:r w:rsidR="00085122" w:rsidRPr="00222A3A">
        <w:rPr>
          <w:rFonts w:ascii="Franklin Gothic Book" w:hAnsi="Franklin Gothic Book" w:cs="Times New Roman"/>
          <w:b/>
          <w:bCs/>
        </w:rPr>
        <w:t xml:space="preserve"> across insurance types</w:t>
      </w:r>
      <w:r w:rsidRPr="00222A3A">
        <w:rPr>
          <w:rFonts w:ascii="Franklin Gothic Book" w:hAnsi="Franklin Gothic Book" w:cs="Times New Roman"/>
        </w:rPr>
        <w:t xml:space="preserve"> found that the participation in an MTM program, receiving 10 weekly meals</w:t>
      </w:r>
      <w:r w:rsidR="24191063" w:rsidRPr="24191063">
        <w:rPr>
          <w:rFonts w:ascii="Franklin Gothic Book" w:hAnsi="Franklin Gothic Book" w:cs="Times New Roman"/>
        </w:rPr>
        <w:t xml:space="preserve"> (median duration of 9 </w:t>
      </w:r>
      <w:r w:rsidR="005E5317" w:rsidRPr="24191063">
        <w:rPr>
          <w:rFonts w:ascii="Franklin Gothic Book" w:hAnsi="Franklin Gothic Book" w:cs="Times New Roman"/>
        </w:rPr>
        <w:t>months)</w:t>
      </w:r>
      <w:r w:rsidR="005E5317" w:rsidRPr="00222A3A">
        <w:rPr>
          <w:rFonts w:ascii="Franklin Gothic Book" w:hAnsi="Franklin Gothic Book" w:cs="Times New Roman"/>
        </w:rPr>
        <w:t xml:space="preserve"> was</w:t>
      </w:r>
      <w:r w:rsidRPr="00222A3A">
        <w:rPr>
          <w:rFonts w:ascii="Franklin Gothic Book" w:hAnsi="Franklin Gothic Book" w:cs="Times New Roman"/>
        </w:rPr>
        <w:t xml:space="preserve"> associated with</w:t>
      </w:r>
      <w:r w:rsidRPr="00085122">
        <w:rPr>
          <w:rFonts w:ascii="Franklin Gothic Book" w:hAnsi="Franklin Gothic Book" w:cs="Times New Roman"/>
        </w:rPr>
        <w:t xml:space="preserve"> </w:t>
      </w:r>
      <w:r w:rsidR="00085122" w:rsidRPr="007828F3">
        <w:rPr>
          <w:rFonts w:ascii="Franklin Gothic Book" w:hAnsi="Franklin Gothic Book" w:cs="Times New Roman"/>
          <w:b/>
          <w:bCs/>
        </w:rPr>
        <w:t xml:space="preserve">49% fewer inpatient admissions, 72% fewer admissions to skilled nursing facilities, and 16% lower health care </w:t>
      </w:r>
      <w:proofErr w:type="gramStart"/>
      <w:r w:rsidR="00085122" w:rsidRPr="007828F3">
        <w:rPr>
          <w:rFonts w:ascii="Franklin Gothic Book" w:hAnsi="Franklin Gothic Book" w:cs="Times New Roman"/>
          <w:b/>
          <w:bCs/>
        </w:rPr>
        <w:t>costs</w:t>
      </w:r>
      <w:r w:rsidR="00085122" w:rsidRPr="00085122">
        <w:rPr>
          <w:rFonts w:ascii="Franklin Gothic Book" w:hAnsi="Franklin Gothic Book" w:cs="Times New Roman"/>
        </w:rPr>
        <w:t xml:space="preserve"> </w:t>
      </w:r>
      <w:r w:rsidRPr="00085122">
        <w:rPr>
          <w:rFonts w:ascii="Franklin Gothic Book" w:hAnsi="Franklin Gothic Book" w:cs="Times New Roman"/>
        </w:rPr>
        <w:t>,</w:t>
      </w:r>
      <w:proofErr w:type="gramEnd"/>
      <w:r w:rsidRPr="00085122">
        <w:rPr>
          <w:rFonts w:ascii="Franklin Gothic Book" w:hAnsi="Franklin Gothic Book" w:cs="Times New Roman"/>
        </w:rPr>
        <w:t xml:space="preserve"> compared to not participating in the MTM program. This program was also found to produce net cost savings for payers.</w:t>
      </w:r>
      <w:r w:rsidRPr="00085122">
        <w:rPr>
          <w:rStyle w:val="EndnoteReference"/>
          <w:rFonts w:ascii="Franklin Gothic Book" w:hAnsi="Franklin Gothic Book" w:cs="Times New Roman"/>
        </w:rPr>
        <w:endnoteReference w:id="12"/>
      </w:r>
      <w:r w:rsidR="7314A9F3" w:rsidRPr="7314A9F3">
        <w:rPr>
          <w:rStyle w:val="EndnoteReference"/>
          <w:rFonts w:ascii="Franklin Gothic Book" w:hAnsi="Franklin Gothic Book" w:cs="Times New Roman"/>
        </w:rPr>
        <w:t xml:space="preserve"> </w:t>
      </w:r>
      <w:r w:rsidRPr="7314A9F3">
        <w:rPr>
          <w:rStyle w:val="EndnoteReference"/>
          <w:rFonts w:ascii="Franklin Gothic Book" w:hAnsi="Franklin Gothic Book" w:cs="Times New Roman"/>
          <w:vertAlign w:val="baseline"/>
        </w:rPr>
        <w:t xml:space="preserve"> </w:t>
      </w:r>
    </w:p>
    <w:p w14:paraId="10D1ABA2" w14:textId="2801F90F" w:rsidR="00853722" w:rsidRDefault="21662357" w:rsidP="00853722">
      <w:pPr>
        <w:rPr>
          <w:rFonts w:ascii="Franklin Gothic Book" w:hAnsi="Franklin Gothic Book"/>
        </w:rPr>
      </w:pPr>
      <w:r w:rsidRPr="21662357">
        <w:rPr>
          <w:rFonts w:ascii="Franklin Gothic Book" w:hAnsi="Franklin Gothic Book"/>
        </w:rPr>
        <w:t xml:space="preserve">As a result of this evidence, researchers have been able to model the impact of nationwide provision of MTMs to individuals with diet-related </w:t>
      </w:r>
      <w:r w:rsidR="00853722">
        <w:rPr>
          <w:rFonts w:ascii="Franklin Gothic Book" w:hAnsi="Franklin Gothic Book"/>
        </w:rPr>
        <w:t>conditions</w:t>
      </w:r>
      <w:r w:rsidRPr="21662357">
        <w:rPr>
          <w:rFonts w:ascii="Franklin Gothic Book" w:hAnsi="Franklin Gothic Book"/>
        </w:rPr>
        <w:t xml:space="preserve"> and limitations in activities of daily living in Medicaid, Medicare, and commercial insurance</w:t>
      </w:r>
      <w:r w:rsidR="00853722">
        <w:rPr>
          <w:rFonts w:ascii="Franklin Gothic Book" w:hAnsi="Franklin Gothic Book"/>
        </w:rPr>
        <w:t xml:space="preserve">. Below, we cite the Medicare-specific results: </w:t>
      </w:r>
    </w:p>
    <w:p w14:paraId="5C523032" w14:textId="32A40480" w:rsidR="00853722" w:rsidRPr="00853722" w:rsidRDefault="00F1094A" w:rsidP="0016095C">
      <w:pPr>
        <w:pStyle w:val="ListParagraph"/>
        <w:numPr>
          <w:ilvl w:val="0"/>
          <w:numId w:val="83"/>
        </w:numPr>
        <w:rPr>
          <w:rFonts w:ascii="Franklin Gothic Book" w:hAnsi="Franklin Gothic Book" w:cs="Times New Roman"/>
        </w:rPr>
      </w:pPr>
      <w:r w:rsidRPr="00853722">
        <w:rPr>
          <w:rFonts w:ascii="Franklin Gothic Book" w:hAnsi="Franklin Gothic Book" w:cs="Times New Roman"/>
          <w:b/>
          <w:bCs/>
        </w:rPr>
        <w:t>National implementation of medically tailored meals for all eligible patients in Medicare</w:t>
      </w:r>
      <w:r w:rsidRPr="00853722">
        <w:rPr>
          <w:rFonts w:ascii="Franklin Gothic Book" w:hAnsi="Franklin Gothic Book" w:cs="Times New Roman"/>
        </w:rPr>
        <w:t xml:space="preserve"> (2.57 million Americans who have both a major diet-related condition and limited ability to perform activities of daily living) is </w:t>
      </w:r>
      <w:r w:rsidRPr="005E5317">
        <w:rPr>
          <w:rFonts w:ascii="Franklin Gothic Book" w:hAnsi="Franklin Gothic Book" w:cs="Times New Roman"/>
          <w:b/>
          <w:bCs/>
        </w:rPr>
        <w:t>estimated to prevent over 700,000 hospitalizations and produce $3.4 billion in cost savings for Medicare annually, even after paying for the costs of the meals</w:t>
      </w:r>
      <w:r w:rsidRPr="00853722">
        <w:rPr>
          <w:rFonts w:ascii="Franklin Gothic Book" w:hAnsi="Franklin Gothic Book" w:cs="Times New Roman"/>
        </w:rPr>
        <w:t>.</w:t>
      </w:r>
      <w:r w:rsidRPr="00085122">
        <w:rPr>
          <w:rStyle w:val="EndnoteReference"/>
          <w:rFonts w:ascii="Franklin Gothic Book" w:hAnsi="Franklin Gothic Book" w:cs="Times New Roman"/>
        </w:rPr>
        <w:endnoteReference w:id="13"/>
      </w:r>
    </w:p>
    <w:p w14:paraId="5F2090AF" w14:textId="1F5F0F68" w:rsidR="00085122" w:rsidRPr="00857A1B" w:rsidRDefault="125C6173" w:rsidP="0016095C">
      <w:pPr>
        <w:rPr>
          <w:rFonts w:ascii="Franklin Gothic Book" w:hAnsi="Franklin Gothic Book" w:cs="Times New Roman"/>
        </w:rPr>
      </w:pPr>
      <w:r w:rsidRPr="125C6173">
        <w:rPr>
          <w:rFonts w:ascii="Franklin Gothic Book" w:hAnsi="Franklin Gothic Book" w:cs="Times New Roman"/>
        </w:rPr>
        <w:t xml:space="preserve">Finally, recent evaluations of demonstration projects in Medicaid add further weight to implementation recommendations. Both studies described below assessed the combined effects of various Food is Medicine programs authorized under the states’ </w:t>
      </w:r>
      <w:r w:rsidRPr="125C6173">
        <w:rPr>
          <w:rFonts w:ascii="Franklin Gothic Book" w:hAnsi="Franklin Gothic Book" w:cs="Times New Roman"/>
        </w:rPr>
        <w:t>s</w:t>
      </w:r>
      <w:r w:rsidRPr="125C6173">
        <w:rPr>
          <w:rFonts w:ascii="Franklin Gothic Book" w:hAnsi="Franklin Gothic Book" w:cs="Times New Roman"/>
        </w:rPr>
        <w:t xml:space="preserve">ection 1115 </w:t>
      </w:r>
      <w:proofErr w:type="spellStart"/>
      <w:r w:rsidRPr="125C6173">
        <w:rPr>
          <w:rFonts w:ascii="Franklin Gothic Book" w:hAnsi="Franklin Gothic Book" w:cs="Times New Roman"/>
        </w:rPr>
        <w:t>emonstrations</w:t>
      </w:r>
      <w:proofErr w:type="spellEnd"/>
      <w:r w:rsidRPr="125C6173">
        <w:rPr>
          <w:rFonts w:ascii="Franklin Gothic Book" w:hAnsi="Franklin Gothic Book" w:cs="Times New Roman"/>
        </w:rPr>
        <w:t>, which included MTMs:</w:t>
      </w:r>
    </w:p>
    <w:p w14:paraId="120C65BA" w14:textId="635730D7" w:rsidR="0016095C" w:rsidRDefault="00124D07" w:rsidP="7314A9F3">
      <w:pPr>
        <w:pStyle w:val="ListParagraph"/>
        <w:numPr>
          <w:ilvl w:val="0"/>
          <w:numId w:val="78"/>
        </w:numPr>
        <w:rPr>
          <w:rFonts w:ascii="Franklin Gothic Book" w:hAnsi="Franklin Gothic Book" w:cs="Times New Roman"/>
        </w:rPr>
      </w:pPr>
      <w:r w:rsidRPr="00124D07">
        <w:rPr>
          <w:rFonts w:ascii="Franklin Gothic Book" w:hAnsi="Franklin Gothic Book" w:cs="Times New Roman"/>
        </w:rPr>
        <w:t xml:space="preserve">The Massachusetts Medicaid and Children’s Health Insurance Program </w:t>
      </w:r>
      <w:r>
        <w:rPr>
          <w:rFonts w:ascii="Franklin Gothic Book" w:hAnsi="Franklin Gothic Book" w:cs="Times New Roman"/>
        </w:rPr>
        <w:t>allowed FIM programs delivered in</w:t>
      </w:r>
      <w:r w:rsidRPr="00124D07">
        <w:rPr>
          <w:rFonts w:ascii="Franklin Gothic Book" w:hAnsi="Franklin Gothic Book" w:cs="Times New Roman"/>
        </w:rPr>
        <w:t xml:space="preserve"> partnerships with social service organizations under its </w:t>
      </w:r>
      <w:r w:rsidR="763A2FC4" w:rsidRPr="763A2FC4">
        <w:rPr>
          <w:rFonts w:ascii="Franklin Gothic Book" w:hAnsi="Franklin Gothic Book" w:cs="Times New Roman"/>
        </w:rPr>
        <w:t>s</w:t>
      </w:r>
      <w:r w:rsidRPr="00124D07">
        <w:rPr>
          <w:rFonts w:ascii="Franklin Gothic Book" w:hAnsi="Franklin Gothic Book" w:cs="Times New Roman"/>
        </w:rPr>
        <w:t xml:space="preserve">ection 1115 demonstration waiver. </w:t>
      </w:r>
      <w:r>
        <w:rPr>
          <w:rFonts w:ascii="Franklin Gothic Book" w:hAnsi="Franklin Gothic Book" w:cs="Times New Roman"/>
        </w:rPr>
        <w:t xml:space="preserve">A recent evaluation of the effects of the provision of nutrition </w:t>
      </w:r>
      <w:r w:rsidRPr="00124D07">
        <w:rPr>
          <w:rFonts w:ascii="Franklin Gothic Book" w:hAnsi="Franklin Gothic Book" w:cs="Times New Roman"/>
        </w:rPr>
        <w:t>on health care use and costs during the first three-year program cycle (January 2020–March 2023)</w:t>
      </w:r>
      <w:r>
        <w:rPr>
          <w:rFonts w:ascii="Franklin Gothic Book" w:hAnsi="Franklin Gothic Book" w:cs="Times New Roman"/>
        </w:rPr>
        <w:t xml:space="preserve"> analyzed</w:t>
      </w:r>
      <w:r w:rsidRPr="00124D07">
        <w:rPr>
          <w:rFonts w:ascii="Franklin Gothic Book" w:hAnsi="Franklin Gothic Book" w:cs="Times New Roman"/>
        </w:rPr>
        <w:t xml:space="preserve"> data on 20,403 participants from seventeen </w:t>
      </w:r>
      <w:r w:rsidRPr="00124D07">
        <w:rPr>
          <w:rFonts w:ascii="Franklin Gothic Book" w:hAnsi="Franklin Gothic Book" w:cs="Times New Roman"/>
        </w:rPr>
        <w:lastRenderedPageBreak/>
        <w:t xml:space="preserve">accountable care organizations. </w:t>
      </w:r>
      <w:r w:rsidRPr="00124D07">
        <w:rPr>
          <w:rFonts w:ascii="Franklin Gothic Book" w:hAnsi="Franklin Gothic Book" w:cs="Times New Roman"/>
          <w:b/>
          <w:bCs/>
        </w:rPr>
        <w:t>Program participation was associated with a 23% reduction in hospitalizations and a 13% reduction in emergency department visits</w:t>
      </w:r>
      <w:r w:rsidRPr="00124D07">
        <w:rPr>
          <w:rFonts w:ascii="Franklin Gothic Book" w:hAnsi="Franklin Gothic Book" w:cs="Times New Roman"/>
        </w:rPr>
        <w:t xml:space="preserve"> compared with the number of hospitalizations and visits for 2,108 eligible nonparticipants. </w:t>
      </w:r>
      <w:r w:rsidRPr="00124D07">
        <w:rPr>
          <w:rFonts w:ascii="Franklin Gothic Book" w:hAnsi="Franklin Gothic Book" w:cs="Times New Roman"/>
          <w:b/>
          <w:bCs/>
        </w:rPr>
        <w:t>Health care costs were $2,502 lower</w:t>
      </w:r>
      <w:r w:rsidRPr="00124D07">
        <w:rPr>
          <w:rFonts w:ascii="Franklin Gothic Book" w:hAnsi="Franklin Gothic Book" w:cs="Times New Roman"/>
        </w:rPr>
        <w:t xml:space="preserve"> among adults with</w:t>
      </w:r>
      <w:r w:rsidR="1A9073F1" w:rsidRPr="1A9073F1">
        <w:rPr>
          <w:rFonts w:ascii="Franklin Gothic Book" w:hAnsi="Franklin Gothic Book" w:cs="Times New Roman"/>
        </w:rPr>
        <w:t xml:space="preserve"> &gt;90</w:t>
      </w:r>
      <w:r w:rsidRPr="00124D07">
        <w:rPr>
          <w:rFonts w:ascii="Franklin Gothic Book" w:hAnsi="Franklin Gothic Book" w:cs="Times New Roman"/>
        </w:rPr>
        <w:t>days of enrollment.</w:t>
      </w:r>
      <w:r>
        <w:rPr>
          <w:rStyle w:val="EndnoteReference"/>
          <w:rFonts w:ascii="Franklin Gothic Book" w:hAnsi="Franklin Gothic Book" w:cs="Times New Roman"/>
        </w:rPr>
        <w:endnoteReference w:id="14"/>
      </w:r>
      <w:r w:rsidRPr="00124D07">
        <w:rPr>
          <w:rFonts w:ascii="Franklin Gothic Book" w:hAnsi="Franklin Gothic Book" w:cs="Times New Roman"/>
        </w:rPr>
        <w:t xml:space="preserve"> </w:t>
      </w:r>
    </w:p>
    <w:p w14:paraId="2B8D1B18" w14:textId="6C996762" w:rsidR="00222A3A" w:rsidRDefault="00085122" w:rsidP="00222A3A">
      <w:pPr>
        <w:pStyle w:val="ListParagraph"/>
        <w:numPr>
          <w:ilvl w:val="0"/>
          <w:numId w:val="78"/>
        </w:numPr>
        <w:rPr>
          <w:rFonts w:ascii="Franklin Gothic Book" w:hAnsi="Franklin Gothic Book" w:cs="Times New Roman"/>
        </w:rPr>
      </w:pPr>
      <w:r w:rsidRPr="0016095C">
        <w:rPr>
          <w:rFonts w:ascii="Franklin Gothic Book" w:hAnsi="Franklin Gothic Book" w:cs="Times New Roman"/>
        </w:rPr>
        <w:t xml:space="preserve">Under North Carolina Medicaid’s </w:t>
      </w:r>
      <w:r w:rsidR="763A2FC4" w:rsidRPr="763A2FC4">
        <w:rPr>
          <w:rFonts w:ascii="Franklin Gothic Book" w:hAnsi="Franklin Gothic Book" w:cs="Times New Roman"/>
        </w:rPr>
        <w:t xml:space="preserve">section </w:t>
      </w:r>
      <w:r w:rsidRPr="0016095C">
        <w:rPr>
          <w:rFonts w:ascii="Franklin Gothic Book" w:hAnsi="Franklin Gothic Book" w:cs="Times New Roman"/>
        </w:rPr>
        <w:t>1115 demonstration waiver, the Healthy Opportunities Pilots (HOP) allowed services that included nutrition supports (such as healthy food boxes</w:t>
      </w:r>
      <w:proofErr w:type="gramStart"/>
      <w:r w:rsidR="005E5317" w:rsidRPr="0016095C">
        <w:rPr>
          <w:rFonts w:ascii="Franklin Gothic Book" w:hAnsi="Franklin Gothic Book" w:cs="Times New Roman"/>
        </w:rPr>
        <w:t>,</w:t>
      </w:r>
      <w:r w:rsidRPr="0016095C">
        <w:rPr>
          <w:rFonts w:ascii="Franklin Gothic Book" w:hAnsi="Franklin Gothic Book" w:cs="Times New Roman"/>
        </w:rPr>
        <w:t xml:space="preserve"> </w:t>
      </w:r>
      <w:r w:rsidR="005E5317">
        <w:rPr>
          <w:rFonts w:ascii="Franklin Gothic Book" w:hAnsi="Franklin Gothic Book" w:cs="Times New Roman"/>
        </w:rPr>
        <w:t>produce</w:t>
      </w:r>
      <w:proofErr w:type="gramEnd"/>
      <w:r w:rsidR="005E5317">
        <w:rPr>
          <w:rFonts w:ascii="Franklin Gothic Book" w:hAnsi="Franklin Gothic Book" w:cs="Times New Roman"/>
        </w:rPr>
        <w:t xml:space="preserve"> </w:t>
      </w:r>
      <w:r w:rsidRPr="0016095C">
        <w:rPr>
          <w:rFonts w:ascii="Franklin Gothic Book" w:hAnsi="Franklin Gothic Book" w:cs="Times New Roman"/>
        </w:rPr>
        <w:t xml:space="preserve">prescriptions, or medically tailored meals), financed by Medicaid, in 3 regions of North Carolina. Evaluation of 13,000+ HOP participants and 73,000+ comparison members showed that </w:t>
      </w:r>
      <w:r w:rsidRPr="0016095C">
        <w:rPr>
          <w:rFonts w:ascii="Franklin Gothic Book" w:hAnsi="Franklin Gothic Book" w:cs="Times New Roman"/>
          <w:b/>
          <w:bCs/>
        </w:rPr>
        <w:t>Medicaid spending for HOP participants was</w:t>
      </w:r>
      <w:r w:rsidR="21662357" w:rsidRPr="21662357">
        <w:rPr>
          <w:rFonts w:ascii="Franklin Gothic Book" w:hAnsi="Franklin Gothic Book" w:cs="Times New Roman"/>
          <w:b/>
          <w:bCs/>
        </w:rPr>
        <w:t xml:space="preserve"> lower by</w:t>
      </w:r>
      <w:r w:rsidRPr="0016095C">
        <w:rPr>
          <w:rFonts w:ascii="Franklin Gothic Book" w:hAnsi="Franklin Gothic Book" w:cs="Times New Roman"/>
          <w:b/>
          <w:bCs/>
        </w:rPr>
        <w:t xml:space="preserve"> $85/person/month</w:t>
      </w:r>
      <w:r w:rsidR="21662357" w:rsidRPr="21662357">
        <w:rPr>
          <w:rFonts w:ascii="Franklin Gothic Book" w:hAnsi="Franklin Gothic Book" w:cs="Times New Roman"/>
          <w:b/>
          <w:bCs/>
        </w:rPr>
        <w:t xml:space="preserve"> and achieved cost savings </w:t>
      </w:r>
      <w:r w:rsidR="00142B81" w:rsidRPr="21662357">
        <w:rPr>
          <w:rFonts w:ascii="Franklin Gothic Book" w:hAnsi="Franklin Gothic Book" w:cs="Times New Roman"/>
          <w:b/>
          <w:bCs/>
        </w:rPr>
        <w:t>by</w:t>
      </w:r>
      <w:r w:rsidR="00142B81" w:rsidRPr="0016095C">
        <w:rPr>
          <w:rFonts w:ascii="Franklin Gothic Book" w:hAnsi="Franklin Gothic Book" w:cs="Times New Roman"/>
          <w:b/>
          <w:bCs/>
        </w:rPr>
        <w:t xml:space="preserve"> 8</w:t>
      </w:r>
      <w:r w:rsidRPr="0016095C">
        <w:rPr>
          <w:rFonts w:ascii="Franklin Gothic Book" w:hAnsi="Franklin Gothic Book" w:cs="Times New Roman"/>
          <w:b/>
          <w:bCs/>
        </w:rPr>
        <w:t xml:space="preserve"> months</w:t>
      </w:r>
      <w:r w:rsidRPr="0016095C">
        <w:rPr>
          <w:rFonts w:ascii="Franklin Gothic Book" w:hAnsi="Franklin Gothic Book" w:cs="Times New Roman"/>
        </w:rPr>
        <w:t xml:space="preserve"> after starting the program, even accounting for costs of the </w:t>
      </w:r>
      <w:r w:rsidR="00222A3A">
        <w:rPr>
          <w:rFonts w:ascii="Franklin Gothic Book" w:hAnsi="Franklin Gothic Book" w:cs="Times New Roman"/>
        </w:rPr>
        <w:t xml:space="preserve">nutrition </w:t>
      </w:r>
      <w:r w:rsidRPr="0016095C">
        <w:rPr>
          <w:rFonts w:ascii="Franklin Gothic Book" w:hAnsi="Franklin Gothic Book" w:cs="Times New Roman"/>
        </w:rPr>
        <w:t>supports. Emergency department visits were also lower for HOP participants.</w:t>
      </w:r>
      <w:r w:rsidR="00124D07" w:rsidRPr="00857A1B">
        <w:rPr>
          <w:rStyle w:val="EndnoteReference"/>
          <w:rFonts w:ascii="Franklin Gothic Book" w:hAnsi="Franklin Gothic Book" w:cs="Times New Roman"/>
        </w:rPr>
        <w:endnoteReference w:id="15"/>
      </w:r>
    </w:p>
    <w:p w14:paraId="7FA4F725" w14:textId="77777777" w:rsidR="008C3695" w:rsidRDefault="008C3695" w:rsidP="008C3695">
      <w:pPr>
        <w:pStyle w:val="ListParagraph"/>
        <w:rPr>
          <w:rFonts w:ascii="Franklin Gothic Book" w:hAnsi="Franklin Gothic Book" w:cs="Times New Roman"/>
        </w:rPr>
      </w:pPr>
    </w:p>
    <w:p w14:paraId="79005CD5" w14:textId="0101697D" w:rsidR="008D00FD" w:rsidRPr="00857A1B" w:rsidRDefault="004F4117" w:rsidP="0016095C">
      <w:pPr>
        <w:pStyle w:val="ListParagraph"/>
        <w:numPr>
          <w:ilvl w:val="0"/>
          <w:numId w:val="6"/>
        </w:numPr>
        <w:contextualSpacing w:val="0"/>
        <w:rPr>
          <w:rFonts w:ascii="Franklin Gothic Book" w:hAnsi="Franklin Gothic Book"/>
          <w:b/>
          <w:bCs/>
        </w:rPr>
      </w:pPr>
      <w:proofErr w:type="gramStart"/>
      <w:r w:rsidRPr="00857A1B">
        <w:rPr>
          <w:rFonts w:ascii="Franklin Gothic Book" w:hAnsi="Franklin Gothic Book"/>
          <w:b/>
          <w:bCs/>
        </w:rPr>
        <w:t>Current status</w:t>
      </w:r>
      <w:proofErr w:type="gramEnd"/>
      <w:r w:rsidRPr="00857A1B">
        <w:rPr>
          <w:rFonts w:ascii="Franklin Gothic Book" w:hAnsi="Franklin Gothic Book"/>
          <w:b/>
          <w:bCs/>
        </w:rPr>
        <w:t xml:space="preserve"> of access to medically tailored meals in Medicare </w:t>
      </w:r>
    </w:p>
    <w:p w14:paraId="459444F4" w14:textId="212CBB31" w:rsidR="00853722" w:rsidRPr="00EA445C" w:rsidRDefault="004F4117" w:rsidP="0016095C">
      <w:pPr>
        <w:rPr>
          <w:rFonts w:ascii="Franklin Gothic Book" w:hAnsi="Franklin Gothic Book" w:cs="Times New Roman"/>
        </w:rPr>
      </w:pPr>
      <w:r w:rsidRPr="00857A1B">
        <w:rPr>
          <w:rFonts w:ascii="Franklin Gothic Book" w:hAnsi="Franklin Gothic Book"/>
        </w:rPr>
        <w:t>Despite th</w:t>
      </w:r>
      <w:r w:rsidR="00FD4DB0" w:rsidRPr="00857A1B">
        <w:rPr>
          <w:rFonts w:ascii="Franklin Gothic Book" w:hAnsi="Franklin Gothic Book"/>
        </w:rPr>
        <w:t>is evidence of impact</w:t>
      </w:r>
      <w:r w:rsidRPr="00857A1B">
        <w:rPr>
          <w:rFonts w:ascii="Franklin Gothic Book" w:hAnsi="Franklin Gothic Book"/>
        </w:rPr>
        <w:t xml:space="preserve">, access to medically tailored meals remains limited </w:t>
      </w:r>
      <w:r w:rsidR="7314A9F3" w:rsidRPr="7314A9F3">
        <w:rPr>
          <w:rFonts w:ascii="Franklin Gothic Book" w:hAnsi="Franklin Gothic Book"/>
        </w:rPr>
        <w:t xml:space="preserve">for </w:t>
      </w:r>
      <w:r w:rsidRPr="00061688">
        <w:rPr>
          <w:rFonts w:ascii="Franklin Gothic Book" w:hAnsi="Franklin Gothic Book"/>
        </w:rPr>
        <w:t xml:space="preserve">Medicare </w:t>
      </w:r>
      <w:r w:rsidR="7314A9F3" w:rsidRPr="7314A9F3">
        <w:rPr>
          <w:rFonts w:ascii="Franklin Gothic Book" w:hAnsi="Franklin Gothic Book"/>
        </w:rPr>
        <w:t>beneficiaries</w:t>
      </w:r>
      <w:r w:rsidRPr="00061688">
        <w:rPr>
          <w:rFonts w:ascii="Franklin Gothic Book" w:hAnsi="Franklin Gothic Book"/>
        </w:rPr>
        <w:t>. Currently,</w:t>
      </w:r>
      <w:r w:rsidR="0001617E" w:rsidRPr="00061688">
        <w:rPr>
          <w:rFonts w:ascii="Franklin Gothic Book" w:hAnsi="Franklin Gothic Book"/>
        </w:rPr>
        <w:t xml:space="preserve"> Medicare Parts A and B </w:t>
      </w:r>
      <w:r w:rsidR="7314A9F3" w:rsidRPr="7314A9F3">
        <w:rPr>
          <w:rFonts w:ascii="Franklin Gothic Book" w:hAnsi="Franklin Gothic Book"/>
        </w:rPr>
        <w:t xml:space="preserve">do not </w:t>
      </w:r>
      <w:r w:rsidR="0001617E" w:rsidRPr="00061688">
        <w:rPr>
          <w:rFonts w:ascii="Franklin Gothic Book" w:hAnsi="Franklin Gothic Book"/>
        </w:rPr>
        <w:t xml:space="preserve">provide </w:t>
      </w:r>
      <w:r w:rsidR="7314A9F3" w:rsidRPr="7314A9F3">
        <w:rPr>
          <w:rFonts w:ascii="Franklin Gothic Book" w:hAnsi="Franklin Gothic Book"/>
        </w:rPr>
        <w:t>any</w:t>
      </w:r>
      <w:r w:rsidR="0001617E" w:rsidRPr="00061688">
        <w:rPr>
          <w:rFonts w:ascii="Franklin Gothic Book" w:hAnsi="Franklin Gothic Book"/>
        </w:rPr>
        <w:t xml:space="preserve"> </w:t>
      </w:r>
      <w:r w:rsidR="7314A9F3" w:rsidRPr="7314A9F3">
        <w:rPr>
          <w:rFonts w:ascii="Franklin Gothic Book" w:hAnsi="Franklin Gothic Book"/>
        </w:rPr>
        <w:t xml:space="preserve">benefit or other mechanism for </w:t>
      </w:r>
      <w:r w:rsidR="0001617E" w:rsidRPr="00061688">
        <w:rPr>
          <w:rFonts w:ascii="Franklin Gothic Book" w:hAnsi="Franklin Gothic Book"/>
        </w:rPr>
        <w:t xml:space="preserve">coverage of MTMs. Instead, such meals are only available as </w:t>
      </w:r>
      <w:r w:rsidR="00B96C9E" w:rsidRPr="00061688">
        <w:rPr>
          <w:rFonts w:ascii="Franklin Gothic Book" w:hAnsi="Franklin Gothic Book"/>
        </w:rPr>
        <w:t xml:space="preserve">general </w:t>
      </w:r>
      <w:r w:rsidR="0001617E" w:rsidRPr="00061688">
        <w:rPr>
          <w:rFonts w:ascii="Franklin Gothic Book" w:hAnsi="Franklin Gothic Book"/>
        </w:rPr>
        <w:t>supplemental benefits</w:t>
      </w:r>
      <w:r w:rsidR="00205B39" w:rsidRPr="00061688">
        <w:rPr>
          <w:rStyle w:val="EndnoteReference"/>
          <w:rFonts w:ascii="Franklin Gothic Book" w:hAnsi="Franklin Gothic Book"/>
        </w:rPr>
        <w:endnoteReference w:id="16"/>
      </w:r>
      <w:r w:rsidR="0001617E" w:rsidRPr="00061688">
        <w:rPr>
          <w:rFonts w:ascii="Franklin Gothic Book" w:hAnsi="Franklin Gothic Book"/>
        </w:rPr>
        <w:t xml:space="preserve"> </w:t>
      </w:r>
      <w:r w:rsidR="00FD4DB0" w:rsidRPr="00061688">
        <w:rPr>
          <w:rFonts w:ascii="Franklin Gothic Book" w:hAnsi="Franklin Gothic Book"/>
        </w:rPr>
        <w:t xml:space="preserve">or Special Supplemental Benefits </w:t>
      </w:r>
      <w:r w:rsidR="00D744E3" w:rsidRPr="00061688">
        <w:rPr>
          <w:rFonts w:ascii="Franklin Gothic Book" w:hAnsi="Franklin Gothic Book"/>
        </w:rPr>
        <w:t>for the Chronically Ill (SSBCI)</w:t>
      </w:r>
      <w:r w:rsidR="00987DD7" w:rsidRPr="00061688">
        <w:rPr>
          <w:rStyle w:val="EndnoteReference"/>
          <w:rFonts w:ascii="Franklin Gothic Book" w:hAnsi="Franklin Gothic Book"/>
        </w:rPr>
        <w:endnoteReference w:id="17"/>
      </w:r>
      <w:r w:rsidR="00FD6CCF" w:rsidRPr="00061688">
        <w:rPr>
          <w:rFonts w:ascii="Franklin Gothic Book" w:hAnsi="Franklin Gothic Book"/>
        </w:rPr>
        <w:t xml:space="preserve"> provided at the discretion of individual plans in Medicare Part C.</w:t>
      </w:r>
      <w:r w:rsidR="009A0BCF" w:rsidRPr="00061688">
        <w:rPr>
          <w:rFonts w:ascii="Franklin Gothic Book" w:hAnsi="Franklin Gothic Book"/>
        </w:rPr>
        <w:t xml:space="preserve"> </w:t>
      </w:r>
      <w:r w:rsidR="00BB7391" w:rsidRPr="00061688">
        <w:rPr>
          <w:rFonts w:ascii="Franklin Gothic Book" w:hAnsi="Franklin Gothic Book"/>
        </w:rPr>
        <w:t>This distinct</w:t>
      </w:r>
      <w:r w:rsidR="001B01C2" w:rsidRPr="00061688">
        <w:rPr>
          <w:rFonts w:ascii="Franklin Gothic Book" w:hAnsi="Franklin Gothic Book"/>
        </w:rPr>
        <w:t>ion</w:t>
      </w:r>
      <w:r w:rsidR="00BB7391" w:rsidRPr="00061688">
        <w:rPr>
          <w:rFonts w:ascii="Franklin Gothic Book" w:hAnsi="Franklin Gothic Book"/>
        </w:rPr>
        <w:t xml:space="preserve"> results in a significant gap in access, with the</w:t>
      </w:r>
      <w:r w:rsidR="00CA1D59" w:rsidRPr="00061688">
        <w:rPr>
          <w:rFonts w:ascii="Franklin Gothic Book" w:hAnsi="Franklin Gothic Book"/>
        </w:rPr>
        <w:t xml:space="preserve"> </w:t>
      </w:r>
      <w:r w:rsidR="00FD587F" w:rsidRPr="00061688">
        <w:rPr>
          <w:rFonts w:ascii="Franklin Gothic Book" w:hAnsi="Franklin Gothic Book"/>
        </w:rPr>
        <w:t>46%</w:t>
      </w:r>
      <w:r w:rsidRPr="125C6173">
        <w:rPr>
          <w:rStyle w:val="EndnoteReference"/>
          <w:rFonts w:ascii="Franklin Gothic Book" w:hAnsi="Franklin Gothic Book"/>
        </w:rPr>
        <w:endnoteReference w:id="18"/>
      </w:r>
      <w:r w:rsidR="00FD587F" w:rsidRPr="00061688">
        <w:rPr>
          <w:rFonts w:ascii="Franklin Gothic Book" w:hAnsi="Franklin Gothic Book"/>
        </w:rPr>
        <w:t xml:space="preserve"> of Medicare </w:t>
      </w:r>
      <w:r w:rsidR="00BB7391" w:rsidRPr="00061688">
        <w:rPr>
          <w:rFonts w:ascii="Franklin Gothic Book" w:hAnsi="Franklin Gothic Book"/>
        </w:rPr>
        <w:t>participants enrolled in Original Medicare (i.e., Medicare Parts A and B) left with</w:t>
      </w:r>
      <w:r w:rsidR="00B24310" w:rsidRPr="00061688">
        <w:rPr>
          <w:rFonts w:ascii="Franklin Gothic Book" w:hAnsi="Franklin Gothic Book"/>
        </w:rPr>
        <w:t>out</w:t>
      </w:r>
      <w:r w:rsidR="00272E06" w:rsidRPr="00061688">
        <w:rPr>
          <w:rFonts w:ascii="Franklin Gothic Book" w:hAnsi="Franklin Gothic Book"/>
        </w:rPr>
        <w:t xml:space="preserve"> any</w:t>
      </w:r>
      <w:r w:rsidR="00FD587F" w:rsidRPr="00061688">
        <w:rPr>
          <w:rFonts w:ascii="Franklin Gothic Book" w:hAnsi="Franklin Gothic Book"/>
        </w:rPr>
        <w:t xml:space="preserve"> access to </w:t>
      </w:r>
      <w:r w:rsidR="00FD587F" w:rsidRPr="00EA445C">
        <w:rPr>
          <w:rFonts w:ascii="Franklin Gothic Book" w:hAnsi="Franklin Gothic Book"/>
        </w:rPr>
        <w:t>MTMs</w:t>
      </w:r>
      <w:r w:rsidR="001B01C2" w:rsidRPr="00EA445C">
        <w:rPr>
          <w:rFonts w:ascii="Franklin Gothic Book" w:hAnsi="Franklin Gothic Book"/>
        </w:rPr>
        <w:t xml:space="preserve">, and access also varying </w:t>
      </w:r>
      <w:r w:rsidR="00272E06" w:rsidRPr="00EA445C">
        <w:rPr>
          <w:rFonts w:ascii="Franklin Gothic Book" w:hAnsi="Franklin Gothic Book"/>
        </w:rPr>
        <w:t xml:space="preserve">by </w:t>
      </w:r>
      <w:r w:rsidR="008D00FD" w:rsidRPr="00EA445C">
        <w:rPr>
          <w:rFonts w:ascii="Franklin Gothic Book" w:hAnsi="Franklin Gothic Book"/>
        </w:rPr>
        <w:t>plan</w:t>
      </w:r>
      <w:r w:rsidR="00272E06" w:rsidRPr="00EA445C">
        <w:rPr>
          <w:rFonts w:ascii="Franklin Gothic Book" w:hAnsi="Franklin Gothic Book"/>
        </w:rPr>
        <w:t xml:space="preserve"> for the 54% of participants enrolled in</w:t>
      </w:r>
      <w:r w:rsidR="008D00FD" w:rsidRPr="00EA445C">
        <w:rPr>
          <w:rFonts w:ascii="Franklin Gothic Book" w:hAnsi="Franklin Gothic Book"/>
        </w:rPr>
        <w:t xml:space="preserve"> Medicare Part C.</w:t>
      </w:r>
      <w:r w:rsidR="00853722" w:rsidRPr="00EA445C">
        <w:rPr>
          <w:rFonts w:ascii="Franklin Gothic Book" w:hAnsi="Franklin Gothic Book"/>
        </w:rPr>
        <w:t xml:space="preserve"> This coverage </w:t>
      </w:r>
      <w:r w:rsidR="005E5317" w:rsidRPr="00EA445C">
        <w:rPr>
          <w:rFonts w:ascii="Franklin Gothic Book" w:hAnsi="Franklin Gothic Book"/>
        </w:rPr>
        <w:t>gap</w:t>
      </w:r>
      <w:r w:rsidR="00853722" w:rsidRPr="00EA445C">
        <w:rPr>
          <w:rFonts w:ascii="Franklin Gothic Book" w:hAnsi="Franklin Gothic Book"/>
        </w:rPr>
        <w:t xml:space="preserve"> stands out against </w:t>
      </w:r>
      <w:r w:rsidR="00EA445C" w:rsidRPr="00EA445C">
        <w:rPr>
          <w:rFonts w:ascii="Franklin Gothic Book" w:hAnsi="Franklin Gothic Book"/>
        </w:rPr>
        <w:t>statistics about disease incidence in the population: A</w:t>
      </w:r>
      <w:r w:rsidR="00853722" w:rsidRPr="00EA445C">
        <w:rPr>
          <w:rFonts w:ascii="Franklin Gothic Book" w:hAnsi="Franklin Gothic Book"/>
        </w:rPr>
        <w:t>s of 2023,</w:t>
      </w:r>
      <w:r w:rsidR="00853722" w:rsidRPr="00EA445C">
        <w:rPr>
          <w:rFonts w:ascii="Franklin Gothic Book" w:hAnsi="Franklin Gothic Book" w:cs="Times New Roman"/>
        </w:rPr>
        <w:t xml:space="preserve"> 78.8% of older adults reported having multiple chronic conditions.</w:t>
      </w:r>
      <w:r w:rsidR="00853722" w:rsidRPr="00EA445C">
        <w:rPr>
          <w:rStyle w:val="EndnoteReference"/>
          <w:rFonts w:ascii="Franklin Gothic Book" w:hAnsi="Franklin Gothic Book" w:cs="Times New Roman"/>
        </w:rPr>
        <w:endnoteReference w:id="19"/>
      </w:r>
    </w:p>
    <w:p w14:paraId="3AC94589" w14:textId="51E0BEB9" w:rsidR="006C58BA" w:rsidRPr="00061688" w:rsidRDefault="07D68AEC" w:rsidP="0016095C">
      <w:pPr>
        <w:rPr>
          <w:rFonts w:ascii="Franklin Gothic Book" w:hAnsi="Franklin Gothic Book"/>
        </w:rPr>
      </w:pPr>
      <w:r w:rsidRPr="00061688">
        <w:rPr>
          <w:rFonts w:ascii="Franklin Gothic Book" w:hAnsi="Franklin Gothic Book"/>
        </w:rPr>
        <w:t>By establishing separate coding and payment for MTMs as a covered service within Medicare Part B, CMS could begin to address this longstanding access gap and create internal consistency across the Medicare program, ensuring increased access to a standardized MTM benefit for all qualifying enrollees.</w:t>
      </w:r>
    </w:p>
    <w:p w14:paraId="5BC08E7D" w14:textId="6EB1C03F" w:rsidR="008C0A64" w:rsidRPr="00061688" w:rsidRDefault="008C0A64" w:rsidP="0016095C">
      <w:pPr>
        <w:rPr>
          <w:rFonts w:ascii="Franklin Gothic Book" w:hAnsi="Franklin Gothic Book"/>
        </w:rPr>
      </w:pPr>
    </w:p>
    <w:p w14:paraId="62C04766" w14:textId="3E802BC1" w:rsidR="00F57F5C" w:rsidRPr="00061688" w:rsidRDefault="00F57F5C" w:rsidP="0016095C">
      <w:pPr>
        <w:rPr>
          <w:rFonts w:ascii="Franklin Gothic Book" w:hAnsi="Franklin Gothic Book"/>
          <w:b/>
          <w:bCs/>
        </w:rPr>
      </w:pPr>
      <w:r w:rsidRPr="00061688">
        <w:rPr>
          <w:rFonts w:ascii="Franklin Gothic Book" w:hAnsi="Franklin Gothic Book"/>
          <w:b/>
          <w:bCs/>
        </w:rPr>
        <w:t xml:space="preserve">MTM Service Description and </w:t>
      </w:r>
      <w:r w:rsidR="00FE7A36" w:rsidRPr="00061688">
        <w:rPr>
          <w:rFonts w:ascii="Franklin Gothic Book" w:hAnsi="Franklin Gothic Book"/>
          <w:b/>
          <w:bCs/>
        </w:rPr>
        <w:t>Patient Circumstances</w:t>
      </w:r>
    </w:p>
    <w:p w14:paraId="4F3CF79A" w14:textId="77777777" w:rsidR="00A86626" w:rsidRPr="00061688" w:rsidRDefault="00A86626" w:rsidP="0016095C">
      <w:pPr>
        <w:pStyle w:val="ListParagraph"/>
        <w:numPr>
          <w:ilvl w:val="0"/>
          <w:numId w:val="73"/>
        </w:numPr>
        <w:ind w:left="360"/>
        <w:contextualSpacing w:val="0"/>
        <w:rPr>
          <w:rFonts w:ascii="Franklin Gothic Book" w:hAnsi="Franklin Gothic Book"/>
          <w:b/>
          <w:bCs/>
        </w:rPr>
      </w:pPr>
      <w:r w:rsidRPr="00061688">
        <w:rPr>
          <w:rFonts w:ascii="Franklin Gothic Book" w:hAnsi="Franklin Gothic Book"/>
          <w:b/>
          <w:bCs/>
          <w:i/>
          <w:iCs/>
        </w:rPr>
        <w:t>If so, what would be the appropriate description of such a service, and under what patient circumstances (that is, after discharge from a hospital)?</w:t>
      </w:r>
      <w:r w:rsidRPr="00061688">
        <w:rPr>
          <w:rFonts w:ascii="Franklin Gothic Book" w:hAnsi="Franklin Gothic Book"/>
          <w:b/>
          <w:bCs/>
        </w:rPr>
        <w:t> </w:t>
      </w:r>
    </w:p>
    <w:p w14:paraId="0151AA48" w14:textId="48747EA4" w:rsidR="00A86626" w:rsidRPr="00061688" w:rsidRDefault="07D68AEC" w:rsidP="0016095C">
      <w:pPr>
        <w:pStyle w:val="ListParagraph"/>
        <w:numPr>
          <w:ilvl w:val="0"/>
          <w:numId w:val="5"/>
        </w:numPr>
        <w:rPr>
          <w:rFonts w:ascii="Franklin Gothic Book" w:hAnsi="Franklin Gothic Book"/>
        </w:rPr>
      </w:pPr>
      <w:r w:rsidRPr="00061688">
        <w:rPr>
          <w:rFonts w:ascii="Franklin Gothic Book" w:hAnsi="Franklin Gothic Book"/>
          <w:b/>
          <w:bCs/>
        </w:rPr>
        <w:t>Service Description</w:t>
      </w:r>
      <w:r w:rsidRPr="00061688">
        <w:rPr>
          <w:rFonts w:ascii="Franklin Gothic Book" w:hAnsi="Franklin Gothic Book"/>
        </w:rPr>
        <w:t> </w:t>
      </w:r>
    </w:p>
    <w:p w14:paraId="782DEC9D" w14:textId="07382692" w:rsidR="00061688" w:rsidRPr="00061688" w:rsidRDefault="12B15671" w:rsidP="0016095C">
      <w:pPr>
        <w:rPr>
          <w:rFonts w:ascii="Franklin Gothic Book" w:hAnsi="Franklin Gothic Book"/>
        </w:rPr>
      </w:pPr>
      <w:r w:rsidRPr="12B15671">
        <w:rPr>
          <w:rFonts w:ascii="Franklin Gothic Book" w:hAnsi="Franklin Gothic Book"/>
        </w:rPr>
        <w:t xml:space="preserve">In section 1., we fully define the MTM intervention from beginning to end. For use in health care billing and coding, </w:t>
      </w:r>
      <w:r w:rsidR="00035918" w:rsidRPr="00A10518">
        <w:rPr>
          <w:rFonts w:ascii="Franklin Gothic Book" w:hAnsi="Franklin Gothic Book"/>
          <w:highlight w:val="yellow"/>
        </w:rPr>
        <w:t>Insert your organization</w:t>
      </w:r>
      <w:r w:rsidR="00A10518">
        <w:rPr>
          <w:rFonts w:ascii="Franklin Gothic Book" w:hAnsi="Franklin Gothic Book"/>
        </w:rPr>
        <w:t xml:space="preserve"> </w:t>
      </w:r>
      <w:r w:rsidRPr="12B15671">
        <w:rPr>
          <w:rFonts w:ascii="Franklin Gothic Book" w:hAnsi="Franklin Gothic Book"/>
        </w:rPr>
        <w:t>recommends the following description of an MTM: a meal, providing an estimated 1⁄3 of the recommended dietary intake(s), per therapeutic, evidence-based dietary specifications for conditions, assigned based on an assessment of the individual’s nutritional needs by a Registered Dietitian Nutritionist (RDN) or other nutrition professional, intended for use in non-facility/home settings. This description is consistent with the MTM code submission</w:t>
      </w:r>
      <w:r w:rsidR="21662357" w:rsidRPr="12B15671">
        <w:rPr>
          <w:rStyle w:val="EndnoteReference"/>
          <w:rFonts w:ascii="Franklin Gothic Book" w:hAnsi="Franklin Gothic Book"/>
        </w:rPr>
        <w:endnoteReference w:id="20"/>
      </w:r>
      <w:r w:rsidRPr="12B15671">
        <w:rPr>
          <w:rFonts w:ascii="Franklin Gothic Book" w:hAnsi="Franklin Gothic Book"/>
        </w:rPr>
        <w:t xml:space="preserve"> from the </w:t>
      </w:r>
      <w:hyperlink r:id="rId13" w:history="1">
        <w:r w:rsidR="763A2FC4" w:rsidRPr="763A2FC4">
          <w:rPr>
            <w:rStyle w:val="Hyperlink"/>
            <w:rFonts w:ascii="Franklin Gothic Book" w:hAnsi="Franklin Gothic Book"/>
          </w:rPr>
          <w:t>Coding4Food</w:t>
        </w:r>
      </w:hyperlink>
      <w:r w:rsidRPr="12B15671">
        <w:rPr>
          <w:rFonts w:ascii="Franklin Gothic Book" w:hAnsi="Franklin Gothic Book"/>
        </w:rPr>
        <w:t xml:space="preserve"> (C4F) </w:t>
      </w:r>
      <w:r w:rsidRPr="12B15671">
        <w:rPr>
          <w:rFonts w:ascii="Franklin Gothic Book" w:hAnsi="Franklin Gothic Book"/>
        </w:rPr>
        <w:lastRenderedPageBreak/>
        <w:t xml:space="preserve">project, a community-informed initiative aiming to create new Healthcare Common Procedural Coding System (HCPCS) codes to define a spectrum of Food is Medicine interventions in a consensus-building process with experts from across the country, facilitated by the </w:t>
      </w:r>
      <w:hyperlink r:id="rId14">
        <w:r w:rsidRPr="12B15671">
          <w:rPr>
            <w:rStyle w:val="Hyperlink"/>
            <w:rFonts w:ascii="Franklin Gothic Book" w:hAnsi="Franklin Gothic Book"/>
          </w:rPr>
          <w:t>Gravity Project</w:t>
        </w:r>
      </w:hyperlink>
      <w:r w:rsidRPr="12B15671">
        <w:rPr>
          <w:rFonts w:ascii="Franklin Gothic Book" w:hAnsi="Franklin Gothic Book"/>
        </w:rPr>
        <w:t xml:space="preserve">. The recommended code for MTM </w:t>
      </w:r>
      <w:r w:rsidR="00C91EC0">
        <w:rPr>
          <w:rFonts w:ascii="Franklin Gothic Book" w:hAnsi="Franklin Gothic Book"/>
        </w:rPr>
        <w:t xml:space="preserve">was </w:t>
      </w:r>
      <w:r w:rsidR="00A10518">
        <w:rPr>
          <w:rFonts w:ascii="Franklin Gothic Book" w:hAnsi="Franklin Gothic Book"/>
        </w:rPr>
        <w:t>create</w:t>
      </w:r>
      <w:r w:rsidR="00C91EC0">
        <w:rPr>
          <w:rFonts w:ascii="Franklin Gothic Book" w:hAnsi="Franklin Gothic Book"/>
        </w:rPr>
        <w:t>d</w:t>
      </w:r>
      <w:r w:rsidRPr="12B15671">
        <w:rPr>
          <w:rFonts w:ascii="Franklin Gothic Book" w:hAnsi="Franklin Gothic Book"/>
        </w:rPr>
        <w:t>, along with separate recommended codes for Medically Tailored Groceries, Healthy Groceries and Produce Prescriptions.</w:t>
      </w:r>
    </w:p>
    <w:p w14:paraId="7C1B85F9" w14:textId="545AEAC9" w:rsidR="71AABB52" w:rsidRPr="005E5317" w:rsidRDefault="12B15671" w:rsidP="0016095C">
      <w:r w:rsidRPr="12B15671">
        <w:rPr>
          <w:rFonts w:ascii="Franklin Gothic Book" w:hAnsi="Franklin Gothic Book"/>
        </w:rPr>
        <w:t xml:space="preserve">In addition to this description of an MTM, </w:t>
      </w:r>
      <w:hyperlink r:id="rId15" w:history="1">
        <w:r w:rsidR="00035918" w:rsidRPr="00035918">
          <w:rPr>
            <w:rStyle w:val="Hyperlink"/>
            <w:rFonts w:ascii="Franklin Gothic Book" w:hAnsi="Franklin Gothic Book"/>
          </w:rPr>
          <w:t>The Food is Medicine Coalition</w:t>
        </w:r>
      </w:hyperlink>
      <w:r w:rsidR="00035918" w:rsidRPr="12B15671">
        <w:rPr>
          <w:rFonts w:ascii="Franklin Gothic Book" w:hAnsi="Franklin Gothic Book"/>
        </w:rPr>
        <w:t xml:space="preserve"> </w:t>
      </w:r>
      <w:r w:rsidRPr="12B15671">
        <w:rPr>
          <w:rFonts w:ascii="Franklin Gothic Book" w:hAnsi="Franklin Gothic Book"/>
        </w:rPr>
        <w:t xml:space="preserve">has publicly issued </w:t>
      </w:r>
      <w:hyperlink r:id="rId16" w:history="1">
        <w:r w:rsidRPr="00281A5D">
          <w:rPr>
            <w:rStyle w:val="Hyperlink"/>
            <w:rFonts w:ascii="Franklin Gothic Book" w:hAnsi="Franklin Gothic Book"/>
          </w:rPr>
          <w:t>Medically Tailored Meal Nutrition Standards</w:t>
        </w:r>
      </w:hyperlink>
      <w:r w:rsidR="005E5317">
        <w:t>—</w:t>
      </w:r>
      <w:r w:rsidRPr="12B15671">
        <w:rPr>
          <w:rFonts w:ascii="Franklin Gothic Book" w:hAnsi="Franklin Gothic Book"/>
        </w:rPr>
        <w:t>a set of therapeutic, evidence-based nutrition guidelines for specific medical conditions</w:t>
      </w:r>
      <w:r w:rsidR="005E5317">
        <w:t>—</w:t>
      </w:r>
      <w:r w:rsidRPr="12B15671">
        <w:rPr>
          <w:rFonts w:ascii="Franklin Gothic Book" w:hAnsi="Franklin Gothic Book"/>
        </w:rPr>
        <w:t>for use in preparing MTMs. These guidelines are updated continuously by the FIMC Clinical Committee</w:t>
      </w:r>
      <w:r w:rsidR="005E5317">
        <w:rPr>
          <w:rFonts w:ascii="Franklin Gothic Book" w:hAnsi="Franklin Gothic Book"/>
        </w:rPr>
        <w:t xml:space="preserve">, which is </w:t>
      </w:r>
      <w:r w:rsidRPr="12B15671">
        <w:rPr>
          <w:rFonts w:ascii="Franklin Gothic Book" w:hAnsi="Franklin Gothic Book"/>
        </w:rPr>
        <w:t>made up of RDNs from across the country</w:t>
      </w:r>
      <w:r w:rsidR="005E5317">
        <w:rPr>
          <w:rFonts w:ascii="Franklin Gothic Book" w:hAnsi="Franklin Gothic Book"/>
        </w:rPr>
        <w:t xml:space="preserve">, </w:t>
      </w:r>
      <w:r w:rsidRPr="12B15671">
        <w:rPr>
          <w:rFonts w:ascii="Franklin Gothic Book" w:hAnsi="Franklin Gothic Book"/>
        </w:rPr>
        <w:t xml:space="preserve">to stay current with evolving nutrition science.  MTMs are prepared </w:t>
      </w:r>
      <w:r w:rsidR="005E5317" w:rsidRPr="005E5317">
        <w:rPr>
          <w:rFonts w:ascii="Franklin Gothic Book" w:hAnsi="Franklin Gothic Book"/>
        </w:rPr>
        <w:t>prioritizing whole ingredients—like produce, whole grains, and lean proteins— and free from artificial preservatives, artificial colors, and artificial sweeteners</w:t>
      </w:r>
      <w:r w:rsidRPr="12B15671">
        <w:rPr>
          <w:rFonts w:ascii="Franklin Gothic Book" w:hAnsi="Franklin Gothic Book"/>
        </w:rPr>
        <w:t xml:space="preserve">. The MTM intervention is more than delivering the correct food for a diagnosis: the client has ongoing access to medical nutrition therapy, nutrition counseling, and nutrition education. </w:t>
      </w:r>
    </w:p>
    <w:p w14:paraId="1A96A79C" w14:textId="0AF5812F" w:rsidR="00A86626" w:rsidRPr="00061688" w:rsidRDefault="07D68AEC" w:rsidP="0016095C">
      <w:pPr>
        <w:pStyle w:val="ListParagraph"/>
        <w:numPr>
          <w:ilvl w:val="0"/>
          <w:numId w:val="5"/>
        </w:numPr>
        <w:rPr>
          <w:rFonts w:ascii="Franklin Gothic Book" w:hAnsi="Franklin Gothic Book"/>
          <w:b/>
          <w:bCs/>
        </w:rPr>
      </w:pPr>
      <w:r w:rsidRPr="00061688">
        <w:rPr>
          <w:rFonts w:ascii="Franklin Gothic Book" w:hAnsi="Franklin Gothic Book"/>
          <w:b/>
          <w:bCs/>
        </w:rPr>
        <w:t>Patient Circumstances for Service Delivery</w:t>
      </w:r>
    </w:p>
    <w:p w14:paraId="57FF8653" w14:textId="1CDED4E9" w:rsidR="005B238F" w:rsidRPr="00061688" w:rsidRDefault="009216AA" w:rsidP="0016095C">
      <w:pPr>
        <w:rPr>
          <w:rStyle w:val="EndnoteReference"/>
          <w:rFonts w:ascii="Franklin Gothic Book" w:hAnsi="Franklin Gothic Book"/>
          <w:vertAlign w:val="baseline"/>
        </w:rPr>
      </w:pPr>
      <w:r w:rsidRPr="00061688">
        <w:rPr>
          <w:rFonts w:ascii="Franklin Gothic Book" w:hAnsi="Franklin Gothic Book"/>
        </w:rPr>
        <w:t xml:space="preserve">In </w:t>
      </w:r>
      <w:r w:rsidR="00173862" w:rsidRPr="00061688">
        <w:rPr>
          <w:rFonts w:ascii="Franklin Gothic Book" w:hAnsi="Franklin Gothic Book"/>
        </w:rPr>
        <w:t xml:space="preserve">establishing appropriate circumstances for service delivery, </w:t>
      </w:r>
      <w:r w:rsidR="00D52DE2" w:rsidRPr="00061688">
        <w:rPr>
          <w:rFonts w:ascii="Franklin Gothic Book" w:hAnsi="Franklin Gothic Book"/>
        </w:rPr>
        <w:t xml:space="preserve">we recommend that CMS consider current </w:t>
      </w:r>
      <w:r w:rsidR="004E01B4" w:rsidRPr="00061688">
        <w:rPr>
          <w:rFonts w:ascii="Franklin Gothic Book" w:hAnsi="Franklin Gothic Book"/>
        </w:rPr>
        <w:t xml:space="preserve">practice and evidence </w:t>
      </w:r>
      <w:r w:rsidR="00061688" w:rsidRPr="00061688">
        <w:rPr>
          <w:rFonts w:ascii="Franklin Gothic Book" w:hAnsi="Franklin Gothic Book"/>
        </w:rPr>
        <w:t>to</w:t>
      </w:r>
      <w:r w:rsidR="00F465AA" w:rsidRPr="00061688">
        <w:rPr>
          <w:rFonts w:ascii="Franklin Gothic Book" w:hAnsi="Franklin Gothic Book"/>
        </w:rPr>
        <w:t xml:space="preserve"> determine where provision of MTMs </w:t>
      </w:r>
      <w:r w:rsidR="00D16171" w:rsidRPr="00061688">
        <w:rPr>
          <w:rFonts w:ascii="Franklin Gothic Book" w:hAnsi="Franklin Gothic Book"/>
        </w:rPr>
        <w:t>can currently be</w:t>
      </w:r>
      <w:r w:rsidR="00412D8C" w:rsidRPr="00061688">
        <w:rPr>
          <w:rFonts w:ascii="Franklin Gothic Book" w:hAnsi="Franklin Gothic Book"/>
        </w:rPr>
        <w:t xml:space="preserve"> understood to be</w:t>
      </w:r>
      <w:r w:rsidR="00764478" w:rsidRPr="00061688">
        <w:rPr>
          <w:rFonts w:ascii="Franklin Gothic Book" w:hAnsi="Franklin Gothic Book"/>
        </w:rPr>
        <w:t xml:space="preserve"> medically necessary (i.e.,</w:t>
      </w:r>
      <w:r w:rsidR="00F465AA" w:rsidRPr="00061688">
        <w:rPr>
          <w:rFonts w:ascii="Franklin Gothic Book" w:hAnsi="Franklin Gothic Book"/>
        </w:rPr>
        <w:t xml:space="preserve"> “</w:t>
      </w:r>
      <w:r w:rsidR="00BF77F1" w:rsidRPr="00061688">
        <w:rPr>
          <w:rFonts w:ascii="Franklin Gothic Book" w:hAnsi="Franklin Gothic Book"/>
        </w:rPr>
        <w:t>reasonable and necessary for the diagnosis or treatment of illness or injury or to improve the functioning of a malformed body member</w:t>
      </w:r>
      <w:r w:rsidR="00383754" w:rsidRPr="00061688">
        <w:rPr>
          <w:rFonts w:ascii="Franklin Gothic Book" w:hAnsi="Franklin Gothic Book"/>
        </w:rPr>
        <w:t>”)</w:t>
      </w:r>
      <w:r w:rsidR="00383754" w:rsidRPr="00061688">
        <w:rPr>
          <w:rFonts w:ascii="Franklin Gothic Book" w:hAnsi="Franklin Gothic Book"/>
        </w:rPr>
        <w:t>.</w:t>
      </w:r>
      <w:r w:rsidR="00731F89" w:rsidRPr="00061688">
        <w:rPr>
          <w:rStyle w:val="EndnoteReference"/>
          <w:rFonts w:ascii="Franklin Gothic Book" w:hAnsi="Franklin Gothic Book"/>
        </w:rPr>
        <w:endnoteReference w:id="21"/>
      </w:r>
    </w:p>
    <w:p w14:paraId="0561E881" w14:textId="1373725A" w:rsidR="008D102F" w:rsidRPr="00061688" w:rsidRDefault="07D68AEC" w:rsidP="0016095C">
      <w:pPr>
        <w:pStyle w:val="ListParagraph"/>
        <w:numPr>
          <w:ilvl w:val="0"/>
          <w:numId w:val="75"/>
        </w:numPr>
        <w:rPr>
          <w:rFonts w:ascii="Franklin Gothic Book" w:hAnsi="Franklin Gothic Book"/>
        </w:rPr>
      </w:pPr>
      <w:r w:rsidRPr="00061688">
        <w:rPr>
          <w:rFonts w:ascii="Franklin Gothic Book" w:hAnsi="Franklin Gothic Book"/>
          <w:b/>
          <w:bCs/>
        </w:rPr>
        <w:t>Current Practice/Precedent</w:t>
      </w:r>
      <w:r w:rsidR="007D4BDE" w:rsidRPr="00061688">
        <w:rPr>
          <w:rFonts w:ascii="Franklin Gothic Book" w:hAnsi="Franklin Gothic Book"/>
          <w:b/>
          <w:bCs/>
        </w:rPr>
        <w:t xml:space="preserve">: </w:t>
      </w:r>
      <w:r w:rsidR="002B3A7F" w:rsidRPr="00061688">
        <w:rPr>
          <w:rFonts w:ascii="Franklin Gothic Book" w:hAnsi="Franklin Gothic Book"/>
        </w:rPr>
        <w:t>Current CMS</w:t>
      </w:r>
      <w:r w:rsidR="00A21AA9" w:rsidRPr="00061688">
        <w:rPr>
          <w:rFonts w:ascii="Franklin Gothic Book" w:hAnsi="Franklin Gothic Book"/>
        </w:rPr>
        <w:t xml:space="preserve"> </w:t>
      </w:r>
      <w:r w:rsidRPr="00061688">
        <w:rPr>
          <w:rFonts w:ascii="Franklin Gothic Book" w:hAnsi="Franklin Gothic Book"/>
        </w:rPr>
        <w:t xml:space="preserve">guidance allows for </w:t>
      </w:r>
      <w:r w:rsidR="00F7771B" w:rsidRPr="00061688">
        <w:rPr>
          <w:rFonts w:ascii="Franklin Gothic Book" w:hAnsi="Franklin Gothic Book"/>
        </w:rPr>
        <w:t>coverage of meals</w:t>
      </w:r>
      <w:r w:rsidR="00525ECE" w:rsidRPr="00061688">
        <w:rPr>
          <w:rFonts w:ascii="Franklin Gothic Book" w:hAnsi="Franklin Gothic Book"/>
        </w:rPr>
        <w:t xml:space="preserve"> as</w:t>
      </w:r>
      <w:r w:rsidR="007D4BDE" w:rsidRPr="00061688">
        <w:rPr>
          <w:rFonts w:ascii="Franklin Gothic Book" w:hAnsi="Franklin Gothic Book"/>
        </w:rPr>
        <w:t xml:space="preserve"> a</w:t>
      </w:r>
      <w:r w:rsidR="00525ECE" w:rsidRPr="00061688">
        <w:rPr>
          <w:rFonts w:ascii="Franklin Gothic Book" w:hAnsi="Franklin Gothic Book"/>
        </w:rPr>
        <w:t xml:space="preserve"> supplemental be</w:t>
      </w:r>
      <w:r w:rsidR="008F2EBA" w:rsidRPr="00061688">
        <w:rPr>
          <w:rFonts w:ascii="Franklin Gothic Book" w:hAnsi="Franklin Gothic Book"/>
        </w:rPr>
        <w:t>nefit</w:t>
      </w:r>
      <w:r w:rsidR="007D4BDE" w:rsidRPr="00061688">
        <w:rPr>
          <w:rFonts w:ascii="Franklin Gothic Book" w:hAnsi="Franklin Gothic Book"/>
        </w:rPr>
        <w:t xml:space="preserve"> in Medicare Part C</w:t>
      </w:r>
      <w:r w:rsidR="00A21AA9" w:rsidRPr="00061688">
        <w:rPr>
          <w:rFonts w:ascii="Franklin Gothic Book" w:hAnsi="Franklin Gothic Book"/>
        </w:rPr>
        <w:t xml:space="preserve"> in two </w:t>
      </w:r>
      <w:r w:rsidR="00E42011" w:rsidRPr="00061688">
        <w:rPr>
          <w:rFonts w:ascii="Franklin Gothic Book" w:hAnsi="Franklin Gothic Book"/>
        </w:rPr>
        <w:t>circumstances</w:t>
      </w:r>
      <w:r w:rsidRPr="00061688">
        <w:rPr>
          <w:rFonts w:ascii="Franklin Gothic Book" w:hAnsi="Franklin Gothic Book"/>
        </w:rPr>
        <w:t xml:space="preserve"> (1) “immediately following surgery or an inpatient hospital stay,” or (2) “for a chronic condition . . . to transition the enrollee to lifestyle modifications.”</w:t>
      </w:r>
      <w:r w:rsidR="007D4BDE" w:rsidRPr="00061688">
        <w:rPr>
          <w:rStyle w:val="EndnoteReference"/>
          <w:rFonts w:ascii="Franklin Gothic Book" w:hAnsi="Franklin Gothic Book"/>
        </w:rPr>
        <w:endnoteReference w:id="22"/>
      </w:r>
      <w:r w:rsidRPr="00061688">
        <w:rPr>
          <w:rFonts w:ascii="Franklin Gothic Book" w:hAnsi="Franklin Gothic Book"/>
        </w:rPr>
        <w:t xml:space="preserve">  This guidance provides important insight into the circumstances in which generally accepted standards of practice indicate that meals may reasonably impact treatment of a patient’s illness or injury.</w:t>
      </w:r>
      <w:r w:rsidR="007D4BDE" w:rsidRPr="00061688">
        <w:rPr>
          <w:rStyle w:val="EndnoteReference"/>
          <w:rFonts w:ascii="Franklin Gothic Book" w:hAnsi="Franklin Gothic Book"/>
        </w:rPr>
        <w:endnoteReference w:id="23"/>
      </w:r>
      <w:r w:rsidRPr="00061688">
        <w:rPr>
          <w:rFonts w:ascii="Franklin Gothic Book" w:hAnsi="Franklin Gothic Book"/>
        </w:rPr>
        <w:t xml:space="preserve"> However, this guidance is not specific to MTMs—instead capturing meals more broadly—and therefore should be combined with evidence regarding MTMs specifically to define appropriate circumstances for service delivery.</w:t>
      </w:r>
    </w:p>
    <w:p w14:paraId="4A8340CE" w14:textId="77777777" w:rsidR="008A11C7" w:rsidRPr="00061688" w:rsidRDefault="008A11C7" w:rsidP="0016095C">
      <w:pPr>
        <w:pStyle w:val="ListParagraph"/>
        <w:rPr>
          <w:rFonts w:ascii="Franklin Gothic Book" w:hAnsi="Franklin Gothic Book"/>
        </w:rPr>
      </w:pPr>
    </w:p>
    <w:p w14:paraId="1F0A3025" w14:textId="77777777" w:rsidR="00B069E7" w:rsidRPr="00B069E7" w:rsidRDefault="07D68AEC" w:rsidP="0016095C">
      <w:pPr>
        <w:pStyle w:val="ListParagraph"/>
        <w:numPr>
          <w:ilvl w:val="0"/>
          <w:numId w:val="75"/>
        </w:numPr>
        <w:rPr>
          <w:rFonts w:ascii="Franklin Gothic Book" w:hAnsi="Franklin Gothic Book"/>
        </w:rPr>
      </w:pPr>
      <w:r w:rsidRPr="00B069E7">
        <w:rPr>
          <w:rFonts w:ascii="Franklin Gothic Book" w:hAnsi="Franklin Gothic Book"/>
          <w:b/>
          <w:bCs/>
        </w:rPr>
        <w:t>Current Evidence:</w:t>
      </w:r>
      <w:r w:rsidRPr="00B069E7">
        <w:rPr>
          <w:rFonts w:ascii="Franklin Gothic Book" w:hAnsi="Franklin Gothic Book"/>
        </w:rPr>
        <w:t xml:space="preserve"> As of June</w:t>
      </w:r>
      <w:r w:rsidR="00E006B3" w:rsidRPr="00B069E7">
        <w:rPr>
          <w:rFonts w:ascii="Franklin Gothic Book" w:hAnsi="Franklin Gothic Book"/>
        </w:rPr>
        <w:t xml:space="preserve"> </w:t>
      </w:r>
      <w:r w:rsidRPr="00B069E7">
        <w:rPr>
          <w:rFonts w:ascii="Franklin Gothic Book" w:hAnsi="Franklin Gothic Book"/>
        </w:rPr>
        <w:t xml:space="preserve">2025, 13 peer reviewed studies (a combination of robust quasi-experimental studies and randomized control trials) have been conducted in the United States that have evaluated changes in health outcomes and health care utilization among MTM recipients and compared those changes to a control/comparison group. </w:t>
      </w:r>
      <w:r w:rsidRPr="00B069E7">
        <w:rPr>
          <w:rFonts w:ascii="Franklin Gothic Book" w:eastAsia="Aptos" w:hAnsi="Franklin Gothic Book" w:cs="Aptos"/>
        </w:rPr>
        <w:t xml:space="preserve">To recommend the conditions for which there is currently clinical evidence supporting MTMs as medically necessary, we first rely on </w:t>
      </w:r>
      <w:r w:rsidR="006623B9" w:rsidRPr="00B069E7">
        <w:rPr>
          <w:rFonts w:ascii="Franklin Gothic Book" w:eastAsia="Aptos" w:hAnsi="Franklin Gothic Book" w:cs="Aptos"/>
        </w:rPr>
        <w:t>randomized controlled trials (</w:t>
      </w:r>
      <w:r w:rsidRPr="00B069E7">
        <w:rPr>
          <w:rFonts w:ascii="Franklin Gothic Book" w:eastAsia="Aptos" w:hAnsi="Franklin Gothic Book" w:cs="Aptos"/>
        </w:rPr>
        <w:t>RCTs</w:t>
      </w:r>
      <w:r w:rsidR="006623B9" w:rsidRPr="00B069E7">
        <w:rPr>
          <w:rFonts w:ascii="Franklin Gothic Book" w:eastAsia="Aptos" w:hAnsi="Franklin Gothic Book" w:cs="Aptos"/>
        </w:rPr>
        <w:t>)</w:t>
      </w:r>
      <w:r w:rsidRPr="00B069E7">
        <w:rPr>
          <w:rFonts w:ascii="Franklin Gothic Book" w:eastAsia="Aptos" w:hAnsi="Franklin Gothic Book" w:cs="Aptos"/>
        </w:rPr>
        <w:t xml:space="preserve"> that have found improvements in clinical outcomes or health care utilization among MTM recipients.</w:t>
      </w:r>
      <w:r w:rsidR="008A11C7" w:rsidRPr="00061688">
        <w:rPr>
          <w:rStyle w:val="EndnoteReference"/>
          <w:rFonts w:ascii="Franklin Gothic Book" w:eastAsia="Aptos" w:hAnsi="Franklin Gothic Book" w:cs="Aptos"/>
        </w:rPr>
        <w:endnoteReference w:id="24"/>
      </w:r>
      <w:r w:rsidRPr="00B069E7">
        <w:rPr>
          <w:rFonts w:ascii="Franklin Gothic Book" w:eastAsia="Aptos" w:hAnsi="Franklin Gothic Book" w:cs="Aptos"/>
        </w:rPr>
        <w:t xml:space="preserve">  However, there is also meaningful evidence from large-scale quasi-experimental studies to guide the recommendation. </w:t>
      </w:r>
      <w:proofErr w:type="gramStart"/>
      <w:r w:rsidRPr="00B069E7">
        <w:rPr>
          <w:rFonts w:ascii="Franklin Gothic Book" w:eastAsia="Aptos" w:hAnsi="Franklin Gothic Book" w:cs="Aptos"/>
        </w:rPr>
        <w:t>In particular,</w:t>
      </w:r>
      <w:r w:rsidR="006623B9" w:rsidRPr="00B069E7">
        <w:rPr>
          <w:rFonts w:ascii="Franklin Gothic Book" w:eastAsia="Aptos" w:hAnsi="Franklin Gothic Book" w:cs="Aptos"/>
        </w:rPr>
        <w:t xml:space="preserve"> recent</w:t>
      </w:r>
      <w:proofErr w:type="gramEnd"/>
      <w:r w:rsidRPr="00B069E7">
        <w:rPr>
          <w:rFonts w:ascii="Franklin Gothic Book" w:eastAsia="Aptos" w:hAnsi="Franklin Gothic Book" w:cs="Aptos"/>
        </w:rPr>
        <w:t xml:space="preserve"> Medicaid section 1115 demonstration waiver evaluations from Massachusetts and North Carolina have shown improvements in </w:t>
      </w:r>
      <w:r w:rsidRPr="00B069E7">
        <w:rPr>
          <w:rFonts w:ascii="Franklin Gothic Book" w:eastAsia="Aptos" w:hAnsi="Franklin Gothic Book" w:cs="Aptos"/>
        </w:rPr>
        <w:lastRenderedPageBreak/>
        <w:t>health care utilization among MTM recipients and can support a finding of clinical evidence (as well as a finding of “generally accepted standards,” given the breadth of those pilots). Taken together, this literature review indicates that</w:t>
      </w:r>
      <w:r w:rsidR="00953F73" w:rsidRPr="00B069E7">
        <w:rPr>
          <w:rFonts w:ascii="Franklin Gothic Book" w:eastAsia="Aptos" w:hAnsi="Franklin Gothic Book" w:cs="Aptos"/>
        </w:rPr>
        <w:t xml:space="preserve"> </w:t>
      </w:r>
      <w:r w:rsidRPr="00B069E7">
        <w:rPr>
          <w:rFonts w:ascii="Franklin Gothic Book" w:eastAsia="Aptos" w:hAnsi="Franklin Gothic Book" w:cs="Aptos"/>
        </w:rPr>
        <w:t xml:space="preserve">current evidence supports MTM provision for patients with both advanced </w:t>
      </w:r>
      <w:r w:rsidR="005F799E" w:rsidRPr="00B069E7">
        <w:rPr>
          <w:rFonts w:ascii="Franklin Gothic Book" w:eastAsia="Aptos" w:hAnsi="Franklin Gothic Book" w:cs="Aptos"/>
        </w:rPr>
        <w:t xml:space="preserve">condition(s) </w:t>
      </w:r>
      <w:r w:rsidR="005F799E" w:rsidRPr="00B069E7">
        <w:rPr>
          <w:rFonts w:ascii="Franklin Gothic Book" w:eastAsia="Aptos" w:hAnsi="Franklin Gothic Book" w:cs="Aptos"/>
        </w:rPr>
        <w:t>(</w:t>
      </w:r>
      <w:r w:rsidR="005F799E" w:rsidRPr="00B069E7">
        <w:rPr>
          <w:rFonts w:ascii="Franklin Gothic Book" w:eastAsia="Aptos" w:hAnsi="Franklin Gothic Book" w:cs="Aptos"/>
        </w:rPr>
        <w:t>or complications of condition(s)</w:t>
      </w:r>
      <w:r w:rsidR="005F799E" w:rsidRPr="00B069E7">
        <w:rPr>
          <w:rFonts w:ascii="Franklin Gothic Book" w:eastAsia="Aptos" w:hAnsi="Franklin Gothic Book" w:cs="Aptos"/>
        </w:rPr>
        <w:t>)</w:t>
      </w:r>
      <w:r w:rsidRPr="00B069E7">
        <w:rPr>
          <w:rFonts w:ascii="Franklin Gothic Book" w:eastAsia="Aptos" w:hAnsi="Franklin Gothic Book" w:cs="Aptos"/>
        </w:rPr>
        <w:t xml:space="preserve"> and food insecurity or malnutrition. </w:t>
      </w:r>
    </w:p>
    <w:p w14:paraId="212C996C" w14:textId="3D4F1CA1" w:rsidR="008A11C7" w:rsidRPr="00B069E7" w:rsidRDefault="07D68AEC" w:rsidP="00B069E7">
      <w:pPr>
        <w:rPr>
          <w:rFonts w:ascii="Franklin Gothic Book" w:hAnsi="Franklin Gothic Book"/>
        </w:rPr>
      </w:pPr>
      <w:r w:rsidRPr="00B069E7">
        <w:rPr>
          <w:rFonts w:ascii="Franklin Gothic Book" w:hAnsi="Franklin Gothic Book"/>
        </w:rPr>
        <w:t>Combining current practice with MTM-specific evidence, we recommend that CMS allow coverage of MTMs under the following circumstances:</w:t>
      </w:r>
    </w:p>
    <w:p w14:paraId="1602117C" w14:textId="77777777" w:rsidR="00061688" w:rsidRPr="00061688" w:rsidRDefault="07D68AEC" w:rsidP="0016095C">
      <w:pPr>
        <w:pStyle w:val="ListParagraph"/>
        <w:numPr>
          <w:ilvl w:val="0"/>
          <w:numId w:val="76"/>
        </w:numPr>
        <w:rPr>
          <w:rFonts w:ascii="Franklin Gothic Book" w:hAnsi="Franklin Gothic Book"/>
        </w:rPr>
      </w:pPr>
      <w:r w:rsidRPr="00061688">
        <w:rPr>
          <w:rFonts w:ascii="Franklin Gothic Book" w:hAnsi="Franklin Gothic Book"/>
        </w:rPr>
        <w:t>Immediately following surgery or an inpatient hospital stay, OR</w:t>
      </w:r>
    </w:p>
    <w:p w14:paraId="1A93623D" w14:textId="14A1FA72" w:rsidR="00061688" w:rsidRPr="00061688" w:rsidRDefault="763A2FC4" w:rsidP="0016095C">
      <w:pPr>
        <w:pStyle w:val="ListParagraph"/>
        <w:numPr>
          <w:ilvl w:val="0"/>
          <w:numId w:val="76"/>
        </w:numPr>
        <w:rPr>
          <w:rFonts w:ascii="Franklin Gothic Book" w:hAnsi="Franklin Gothic Book"/>
        </w:rPr>
      </w:pPr>
      <w:r w:rsidRPr="763A2FC4">
        <w:rPr>
          <w:rFonts w:ascii="Franklin Gothic Book" w:hAnsi="Franklin Gothic Book"/>
        </w:rPr>
        <w:t xml:space="preserve">Where provision of MTMs is reasonable and necessary to treat: (1) an advanced condition(s) or complications of an advanced condition(s) in an individual who is (2) at risk for poor nutrition, as measured by food insecurity, nutrition insecurity, </w:t>
      </w:r>
      <w:r w:rsidR="21662357" w:rsidRPr="763A2FC4">
        <w:rPr>
          <w:rFonts w:ascii="Franklin Gothic Book" w:hAnsi="Franklin Gothic Book"/>
        </w:rPr>
        <w:t>or clinical diagnosis of malnutrition</w:t>
      </w:r>
      <w:r w:rsidRPr="763A2FC4">
        <w:rPr>
          <w:rFonts w:ascii="Franklin Gothic Book" w:hAnsi="Franklin Gothic Book"/>
        </w:rPr>
        <w:t xml:space="preserve">. </w:t>
      </w:r>
    </w:p>
    <w:p w14:paraId="5DA689F3" w14:textId="40969333" w:rsidR="07D68AEC" w:rsidRPr="00061688" w:rsidRDefault="07D68AEC" w:rsidP="0016095C">
      <w:pPr>
        <w:rPr>
          <w:rFonts w:ascii="Franklin Gothic Book" w:hAnsi="Franklin Gothic Book"/>
        </w:rPr>
      </w:pPr>
      <w:r w:rsidRPr="00061688">
        <w:rPr>
          <w:rFonts w:ascii="Franklin Gothic Book" w:hAnsi="Franklin Gothic Book"/>
        </w:rPr>
        <w:t>Within the category of “advanced condition” we would recommend coverage for the following conditions, based on current evidence and practice</w:t>
      </w:r>
      <w:r w:rsidR="00953F73">
        <w:rPr>
          <w:rFonts w:ascii="Franklin Gothic Book" w:hAnsi="Franklin Gothic Book"/>
        </w:rPr>
        <w:t>:</w:t>
      </w:r>
    </w:p>
    <w:p w14:paraId="21A4A996" w14:textId="022DACDE" w:rsidR="00953F73" w:rsidRDefault="125C6173" w:rsidP="0016095C">
      <w:pPr>
        <w:pStyle w:val="ListParagraph"/>
        <w:numPr>
          <w:ilvl w:val="0"/>
          <w:numId w:val="2"/>
        </w:numPr>
        <w:rPr>
          <w:rFonts w:ascii="Franklin Gothic Book" w:hAnsi="Franklin Gothic Book"/>
        </w:rPr>
      </w:pPr>
      <w:r w:rsidRPr="125C6173">
        <w:rPr>
          <w:rFonts w:ascii="Franklin Gothic Book" w:hAnsi="Franklin Gothic Book"/>
          <w:b/>
          <w:bCs/>
        </w:rPr>
        <w:t>Excellent evidence from randomized trials:</w:t>
      </w:r>
      <w:r w:rsidRPr="125C6173">
        <w:rPr>
          <w:rFonts w:ascii="Franklin Gothic Book" w:hAnsi="Franklin Gothic Book"/>
        </w:rPr>
        <w:t xml:space="preserve"> individuals living with heart failure, HIV,</w:t>
      </w:r>
      <w:r w:rsidRPr="125C6173">
        <w:rPr>
          <w:rFonts w:ascii="Franklin Gothic Book" w:hAnsi="Franklin Gothic Book"/>
        </w:rPr>
        <w:t xml:space="preserve"> or</w:t>
      </w:r>
      <w:r w:rsidRPr="125C6173">
        <w:rPr>
          <w:rFonts w:ascii="Franklin Gothic Book" w:hAnsi="Franklin Gothic Book"/>
        </w:rPr>
        <w:t xml:space="preserve"> cirrhosis</w:t>
      </w:r>
    </w:p>
    <w:p w14:paraId="5B72F953" w14:textId="3B018003" w:rsidR="00EA445C" w:rsidRDefault="763A2FC4" w:rsidP="0016095C">
      <w:pPr>
        <w:pStyle w:val="ListParagraph"/>
        <w:numPr>
          <w:ilvl w:val="0"/>
          <w:numId w:val="2"/>
        </w:numPr>
        <w:rPr>
          <w:rFonts w:ascii="Franklin Gothic Book" w:hAnsi="Franklin Gothic Book"/>
        </w:rPr>
      </w:pPr>
      <w:r w:rsidRPr="00EA445C">
        <w:rPr>
          <w:rFonts w:ascii="Franklin Gothic Book" w:hAnsi="Franklin Gothic Book"/>
          <w:b/>
          <w:bCs/>
        </w:rPr>
        <w:t>Strong evidence from quasi-experimental studies</w:t>
      </w:r>
      <w:r w:rsidR="00370750">
        <w:rPr>
          <w:rFonts w:ascii="Franklin Gothic Book" w:hAnsi="Franklin Gothic Book"/>
          <w:b/>
          <w:bCs/>
        </w:rPr>
        <w:t xml:space="preserve"> and Medicaid demonstrations</w:t>
      </w:r>
      <w:r w:rsidRPr="00EA445C">
        <w:rPr>
          <w:rFonts w:ascii="Franklin Gothic Book" w:hAnsi="Franklin Gothic Book"/>
          <w:b/>
          <w:bCs/>
        </w:rPr>
        <w:t>:</w:t>
      </w:r>
      <w:r w:rsidRPr="00EA445C">
        <w:rPr>
          <w:rFonts w:ascii="Franklin Gothic Book" w:hAnsi="Franklin Gothic Book"/>
        </w:rPr>
        <w:t xml:space="preserve"> individuals living with uncontrolled diabetes, chronic kidney disease (stage 4 or 5), and high-risk pregnancy</w:t>
      </w:r>
      <w:r w:rsidR="008843D2">
        <w:rPr>
          <w:rFonts w:ascii="Franklin Gothic Book" w:hAnsi="Franklin Gothic Book"/>
        </w:rPr>
        <w:t>, or other advanced conditions</w:t>
      </w:r>
      <w:r w:rsidR="008C3695">
        <w:rPr>
          <w:rFonts w:ascii="Franklin Gothic Book" w:hAnsi="Franklin Gothic Book"/>
        </w:rPr>
        <w:t xml:space="preserve"> like cancer and COPD.</w:t>
      </w:r>
    </w:p>
    <w:p w14:paraId="2038D723" w14:textId="73587CF4" w:rsidR="00956E1E" w:rsidRPr="00EA445C" w:rsidRDefault="12B15671" w:rsidP="00EA445C">
      <w:pPr>
        <w:rPr>
          <w:rFonts w:ascii="Franklin Gothic Book" w:hAnsi="Franklin Gothic Book"/>
        </w:rPr>
      </w:pPr>
      <w:r w:rsidRPr="00EA445C">
        <w:rPr>
          <w:rFonts w:ascii="Franklin Gothic Book" w:hAnsi="Franklin Gothic Book"/>
          <w:b/>
          <w:bCs/>
        </w:rPr>
        <w:t>In developing its criteria, we encourage CMS to provide examples, such as those described above, while leaving the list non-exclusive to allow for clinical judgement to determine when provision of MTMs is medically necessary.</w:t>
      </w:r>
      <w:r w:rsidRPr="00EA445C">
        <w:rPr>
          <w:rFonts w:ascii="Franklin Gothic Book" w:hAnsi="Franklin Gothic Book"/>
        </w:rPr>
        <w:t xml:space="preserve"> Such flexibility is both in line with other recent services covered via incident-to authority (e.g., </w:t>
      </w:r>
      <w:hyperlink r:id="rId17">
        <w:r w:rsidRPr="00EA445C">
          <w:rPr>
            <w:rStyle w:val="Hyperlink"/>
            <w:rFonts w:ascii="Franklin Gothic Book" w:hAnsi="Franklin Gothic Book"/>
          </w:rPr>
          <w:t xml:space="preserve">Principal Illness Navigation </w:t>
        </w:r>
      </w:hyperlink>
      <w:r w:rsidRPr="00EA445C">
        <w:rPr>
          <w:rFonts w:ascii="Franklin Gothic Book" w:hAnsi="Franklin Gothic Book"/>
        </w:rPr>
        <w:t>services for “serious high-risk conditions”), and reflective of the fact that the evidence base regarding MTMs is continuing to grow, and will likely produce robust evidence showing the benefit for additional advanced conditions in the years to come.</w:t>
      </w:r>
    </w:p>
    <w:p w14:paraId="58ECEDA7" w14:textId="5A818ADE" w:rsidR="00953F73" w:rsidRPr="00953F73" w:rsidRDefault="00953F73" w:rsidP="0016095C">
      <w:pPr>
        <w:pStyle w:val="ListParagraph"/>
        <w:numPr>
          <w:ilvl w:val="0"/>
          <w:numId w:val="5"/>
        </w:numPr>
        <w:rPr>
          <w:rFonts w:ascii="Franklin Gothic Book" w:hAnsi="Franklin Gothic Book"/>
          <w:b/>
          <w:bCs/>
        </w:rPr>
      </w:pPr>
      <w:r w:rsidRPr="00953F73">
        <w:rPr>
          <w:rFonts w:ascii="Franklin Gothic Book" w:hAnsi="Franklin Gothic Book"/>
          <w:b/>
          <w:bCs/>
        </w:rPr>
        <w:t>Service Dose and Duration</w:t>
      </w:r>
    </w:p>
    <w:p w14:paraId="55EC3562" w14:textId="25119C9D" w:rsidR="07D68AEC" w:rsidRDefault="12B15671" w:rsidP="0016095C">
      <w:pPr>
        <w:rPr>
          <w:rFonts w:ascii="Franklin Gothic Book" w:hAnsi="Franklin Gothic Book"/>
        </w:rPr>
      </w:pPr>
      <w:r w:rsidRPr="12B15671">
        <w:rPr>
          <w:rFonts w:ascii="Franklin Gothic Book" w:hAnsi="Franklin Gothic Book"/>
        </w:rPr>
        <w:t xml:space="preserve">Additionally, we recommend that CMS look </w:t>
      </w:r>
      <w:proofErr w:type="gramStart"/>
      <w:r w:rsidRPr="12B15671">
        <w:rPr>
          <w:rFonts w:ascii="Franklin Gothic Book" w:hAnsi="Franklin Gothic Book"/>
        </w:rPr>
        <w:t>to</w:t>
      </w:r>
      <w:proofErr w:type="gramEnd"/>
      <w:r w:rsidRPr="12B15671">
        <w:rPr>
          <w:rFonts w:ascii="Franklin Gothic Book" w:hAnsi="Franklin Gothic Book"/>
        </w:rPr>
        <w:t xml:space="preserve"> this same evidence base in establishing the appropriate dose and duration for the MTM service — especially for individuals experiencing advanced conditions. In these studies, the provision of MTMs for longer durations — at least 6 months — and in a dose of at least 10-21 meals per week was most strongly associated with health benefits. We therefore recommend that in establishing the service criteria and circumstances of coverage, CMS allow coverage of MTMs for a duration of at least 6 months, at a dose of at least 10 meals per week. Additionally, we recommend that clients are reassessed for continued eligibility for MTMs at 6-month intervals, allowing for renewal based on the above qualifying health conditions and clinical discretion of the billing provider. </w:t>
      </w:r>
    </w:p>
    <w:p w14:paraId="4D6A7EE3" w14:textId="77777777" w:rsidR="000D3D52" w:rsidRPr="00061688" w:rsidRDefault="000D3D52" w:rsidP="0016095C">
      <w:pPr>
        <w:rPr>
          <w:rFonts w:ascii="Franklin Gothic Book" w:hAnsi="Franklin Gothic Book"/>
        </w:rPr>
      </w:pPr>
    </w:p>
    <w:p w14:paraId="6EFAD30C" w14:textId="6122D104" w:rsidR="005F393E" w:rsidRPr="00061688" w:rsidRDefault="00A86626" w:rsidP="0016095C">
      <w:pPr>
        <w:rPr>
          <w:rFonts w:ascii="Franklin Gothic Book" w:hAnsi="Franklin Gothic Book"/>
          <w:b/>
          <w:bCs/>
        </w:rPr>
      </w:pPr>
      <w:r w:rsidRPr="00061688">
        <w:rPr>
          <w:rFonts w:ascii="Franklin Gothic Book" w:hAnsi="Franklin Gothic Book"/>
        </w:rPr>
        <w:t> </w:t>
      </w:r>
      <w:r w:rsidR="005F393E" w:rsidRPr="00061688">
        <w:rPr>
          <w:rFonts w:ascii="Franklin Gothic Book" w:hAnsi="Franklin Gothic Book"/>
          <w:b/>
          <w:bCs/>
        </w:rPr>
        <w:t>Incident-to Pathway and Billing Provider</w:t>
      </w:r>
    </w:p>
    <w:p w14:paraId="773006D0" w14:textId="7B5F23B3" w:rsidR="00A86626" w:rsidRPr="00061688" w:rsidRDefault="00A86626" w:rsidP="0016095C">
      <w:pPr>
        <w:pStyle w:val="ListParagraph"/>
        <w:numPr>
          <w:ilvl w:val="0"/>
          <w:numId w:val="73"/>
        </w:numPr>
        <w:ind w:left="360"/>
        <w:rPr>
          <w:rFonts w:ascii="Franklin Gothic Book" w:hAnsi="Franklin Gothic Book"/>
          <w:b/>
          <w:bCs/>
        </w:rPr>
      </w:pPr>
      <w:r w:rsidRPr="00061688">
        <w:rPr>
          <w:rFonts w:ascii="Franklin Gothic Book" w:hAnsi="Franklin Gothic Book"/>
          <w:b/>
          <w:bCs/>
          <w:i/>
          <w:iCs/>
        </w:rPr>
        <w:lastRenderedPageBreak/>
        <w:t xml:space="preserve">Do community-based organizations providing medically tailored meals currently employ a physician, nurse practitioner, physician assistant, or other practitioner who could both bill Medicare and supervise a </w:t>
      </w:r>
      <w:proofErr w:type="gramStart"/>
      <w:r w:rsidRPr="00061688">
        <w:rPr>
          <w:rFonts w:ascii="Franklin Gothic Book" w:hAnsi="Franklin Gothic Book"/>
          <w:b/>
          <w:bCs/>
          <w:i/>
          <w:iCs/>
        </w:rPr>
        <w:t>medically-tailored</w:t>
      </w:r>
      <w:proofErr w:type="gramEnd"/>
      <w:r w:rsidRPr="00061688">
        <w:rPr>
          <w:rFonts w:ascii="Franklin Gothic Book" w:hAnsi="Franklin Gothic Book"/>
          <w:b/>
          <w:bCs/>
          <w:i/>
          <w:iCs/>
        </w:rPr>
        <w:t xml:space="preserve"> meal service?</w:t>
      </w:r>
      <w:r w:rsidRPr="00061688">
        <w:rPr>
          <w:rFonts w:ascii="Franklin Gothic Book" w:hAnsi="Franklin Gothic Book"/>
          <w:b/>
          <w:bCs/>
        </w:rPr>
        <w:t> </w:t>
      </w:r>
    </w:p>
    <w:p w14:paraId="4578A4E5" w14:textId="250C017D" w:rsidR="00A86626" w:rsidRPr="00061688" w:rsidRDefault="00035918" w:rsidP="0016095C">
      <w:pPr>
        <w:rPr>
          <w:rFonts w:ascii="Franklin Gothic Book" w:hAnsi="Franklin Gothic Book"/>
        </w:rPr>
      </w:pPr>
      <w:r>
        <w:rPr>
          <w:rFonts w:ascii="Franklin Gothic Book" w:hAnsi="Franklin Gothic Book"/>
        </w:rPr>
        <w:t>Delivery of the MTM intervention began as a response to community need and continues to be delivered by</w:t>
      </w:r>
      <w:r w:rsidR="009C3FD8" w:rsidRPr="00061688">
        <w:rPr>
          <w:rFonts w:ascii="Franklin Gothic Book" w:hAnsi="Franklin Gothic Book"/>
        </w:rPr>
        <w:t xml:space="preserve"> community-based organizations</w:t>
      </w:r>
      <w:r w:rsidR="001D0092">
        <w:rPr>
          <w:rFonts w:ascii="Franklin Gothic Book" w:hAnsi="Franklin Gothic Book"/>
        </w:rPr>
        <w:t xml:space="preserve"> across the country</w:t>
      </w:r>
      <w:r w:rsidR="009C3FD8" w:rsidRPr="00061688">
        <w:rPr>
          <w:rFonts w:ascii="Franklin Gothic Book" w:hAnsi="Franklin Gothic Book"/>
        </w:rPr>
        <w:t xml:space="preserve">, many </w:t>
      </w:r>
      <w:r w:rsidR="00CD1186" w:rsidRPr="00061688">
        <w:rPr>
          <w:rFonts w:ascii="Franklin Gothic Book" w:hAnsi="Franklin Gothic Book"/>
        </w:rPr>
        <w:t>with decades-long</w:t>
      </w:r>
      <w:r w:rsidR="00B363E2" w:rsidRPr="00061688">
        <w:rPr>
          <w:rFonts w:ascii="Franklin Gothic Book" w:hAnsi="Franklin Gothic Book"/>
        </w:rPr>
        <w:t xml:space="preserve"> </w:t>
      </w:r>
      <w:r w:rsidR="00CD1186" w:rsidRPr="00061688">
        <w:rPr>
          <w:rFonts w:ascii="Franklin Gothic Book" w:hAnsi="Franklin Gothic Book"/>
        </w:rPr>
        <w:t xml:space="preserve">histories of providing </w:t>
      </w:r>
      <w:r w:rsidR="008A34D6" w:rsidRPr="00061688">
        <w:rPr>
          <w:rFonts w:ascii="Franklin Gothic Book" w:hAnsi="Franklin Gothic Book"/>
        </w:rPr>
        <w:t xml:space="preserve">high-quality </w:t>
      </w:r>
      <w:r w:rsidR="00CD1186" w:rsidRPr="00061688">
        <w:rPr>
          <w:rFonts w:ascii="Franklin Gothic Book" w:hAnsi="Franklin Gothic Book"/>
        </w:rPr>
        <w:t>MTMs and medically tailored groceries (MTG</w:t>
      </w:r>
      <w:r w:rsidR="000D3D52">
        <w:rPr>
          <w:rFonts w:ascii="Franklin Gothic Book" w:hAnsi="Franklin Gothic Book"/>
        </w:rPr>
        <w:t>s</w:t>
      </w:r>
      <w:r w:rsidR="00CD1186" w:rsidRPr="00061688">
        <w:rPr>
          <w:rFonts w:ascii="Franklin Gothic Book" w:hAnsi="Franklin Gothic Book"/>
        </w:rPr>
        <w:t xml:space="preserve">) </w:t>
      </w:r>
      <w:r w:rsidR="008A34D6" w:rsidRPr="00061688">
        <w:rPr>
          <w:rFonts w:ascii="Franklin Gothic Book" w:hAnsi="Franklin Gothic Book"/>
        </w:rPr>
        <w:t xml:space="preserve">in the communities they serve. </w:t>
      </w:r>
      <w:r w:rsidR="00E07821" w:rsidRPr="00061688">
        <w:rPr>
          <w:rFonts w:ascii="Franklin Gothic Book" w:hAnsi="Franklin Gothic Book"/>
        </w:rPr>
        <w:t xml:space="preserve">Typically, </w:t>
      </w:r>
      <w:r>
        <w:rPr>
          <w:rFonts w:ascii="Franklin Gothic Book" w:hAnsi="Franklin Gothic Book"/>
        </w:rPr>
        <w:t>community-based</w:t>
      </w:r>
      <w:r w:rsidR="00E07821" w:rsidRPr="00061688">
        <w:rPr>
          <w:rFonts w:ascii="Franklin Gothic Book" w:hAnsi="Franklin Gothic Book"/>
        </w:rPr>
        <w:t xml:space="preserve"> </w:t>
      </w:r>
      <w:r w:rsidR="00E07821" w:rsidRPr="00061688">
        <w:rPr>
          <w:rFonts w:ascii="Franklin Gothic Book" w:hAnsi="Franklin Gothic Book"/>
        </w:rPr>
        <w:t xml:space="preserve">MTM </w:t>
      </w:r>
      <w:r w:rsidR="00E07821" w:rsidRPr="00061688">
        <w:rPr>
          <w:rFonts w:ascii="Franklin Gothic Book" w:hAnsi="Franklin Gothic Book"/>
        </w:rPr>
        <w:t xml:space="preserve">organizations do not employ </w:t>
      </w:r>
      <w:r w:rsidR="00784BE2" w:rsidRPr="00061688">
        <w:rPr>
          <w:rFonts w:ascii="Franklin Gothic Book" w:hAnsi="Franklin Gothic Book"/>
        </w:rPr>
        <w:t xml:space="preserve">Medicare practitioners </w:t>
      </w:r>
      <w:r w:rsidR="001D176F" w:rsidRPr="00061688">
        <w:rPr>
          <w:rFonts w:ascii="Franklin Gothic Book" w:hAnsi="Franklin Gothic Book"/>
        </w:rPr>
        <w:t xml:space="preserve">with authority to bill for services provided incident to their care (i.e., </w:t>
      </w:r>
      <w:r w:rsidR="00767A2C" w:rsidRPr="00061688">
        <w:rPr>
          <w:rFonts w:ascii="Franklin Gothic Book" w:hAnsi="Franklin Gothic Book"/>
        </w:rPr>
        <w:t xml:space="preserve">physicians, </w:t>
      </w:r>
      <w:r w:rsidR="009F35C3" w:rsidRPr="00061688">
        <w:rPr>
          <w:rFonts w:ascii="Franklin Gothic Book" w:hAnsi="Franklin Gothic Book"/>
        </w:rPr>
        <w:t xml:space="preserve">nurse practitioners, certified nurse-midwives, </w:t>
      </w:r>
      <w:r w:rsidR="00F91083" w:rsidRPr="00061688">
        <w:rPr>
          <w:rFonts w:ascii="Franklin Gothic Book" w:hAnsi="Franklin Gothic Book"/>
        </w:rPr>
        <w:t xml:space="preserve">clinical nurse specialists, </w:t>
      </w:r>
      <w:r w:rsidR="00C46A9B" w:rsidRPr="00061688">
        <w:rPr>
          <w:rFonts w:ascii="Franklin Gothic Book" w:hAnsi="Franklin Gothic Book"/>
        </w:rPr>
        <w:t xml:space="preserve">clinical </w:t>
      </w:r>
      <w:r w:rsidR="005F799E" w:rsidRPr="00061688">
        <w:rPr>
          <w:rFonts w:ascii="Franklin Gothic Book" w:hAnsi="Franklin Gothic Book"/>
        </w:rPr>
        <w:t>psychologists</w:t>
      </w:r>
      <w:r w:rsidR="00C46A9B" w:rsidRPr="00061688">
        <w:rPr>
          <w:rFonts w:ascii="Franklin Gothic Book" w:hAnsi="Franklin Gothic Book"/>
        </w:rPr>
        <w:t>,</w:t>
      </w:r>
      <w:r w:rsidR="00F91083" w:rsidRPr="00061688">
        <w:rPr>
          <w:rFonts w:ascii="Franklin Gothic Book" w:hAnsi="Franklin Gothic Book"/>
        </w:rPr>
        <w:t xml:space="preserve"> </w:t>
      </w:r>
      <w:r w:rsidR="00BA1C1A" w:rsidRPr="00061688">
        <w:rPr>
          <w:rFonts w:ascii="Franklin Gothic Book" w:hAnsi="Franklin Gothic Book"/>
        </w:rPr>
        <w:t>or physician assistants</w:t>
      </w:r>
      <w:r w:rsidR="007D43EB" w:rsidRPr="00061688">
        <w:rPr>
          <w:rStyle w:val="EndnoteReference"/>
          <w:rFonts w:ascii="Franklin Gothic Book" w:hAnsi="Franklin Gothic Book"/>
        </w:rPr>
        <w:endnoteReference w:id="25"/>
      </w:r>
      <w:r w:rsidR="00BA1C1A" w:rsidRPr="00061688">
        <w:rPr>
          <w:rFonts w:ascii="Franklin Gothic Book" w:hAnsi="Franklin Gothic Book"/>
        </w:rPr>
        <w:t>)</w:t>
      </w:r>
      <w:r w:rsidR="00A670FD" w:rsidRPr="00061688">
        <w:rPr>
          <w:rFonts w:ascii="Franklin Gothic Book" w:hAnsi="Franklin Gothic Book"/>
        </w:rPr>
        <w:t xml:space="preserve">. </w:t>
      </w:r>
    </w:p>
    <w:p w14:paraId="4CDF7D0B" w14:textId="6441E838" w:rsidR="00A86626" w:rsidRPr="00061688" w:rsidRDefault="763A2FC4" w:rsidP="0016095C">
      <w:pPr>
        <w:rPr>
          <w:rFonts w:ascii="Franklin Gothic Book" w:hAnsi="Franklin Gothic Book"/>
        </w:rPr>
      </w:pPr>
      <w:r w:rsidRPr="763A2FC4">
        <w:rPr>
          <w:rFonts w:ascii="Franklin Gothic Book" w:hAnsi="Franklin Gothic Book"/>
        </w:rPr>
        <w:t xml:space="preserve">We do not believe this should in any way discourage CMS from moving forward with incident-to billing for MTM services.  As described in response to </w:t>
      </w:r>
      <w:proofErr w:type="gramStart"/>
      <w:r w:rsidRPr="763A2FC4">
        <w:rPr>
          <w:rFonts w:ascii="Franklin Gothic Book" w:hAnsi="Franklin Gothic Book"/>
        </w:rPr>
        <w:t>4.,</w:t>
      </w:r>
      <w:proofErr w:type="gramEnd"/>
      <w:r w:rsidRPr="763A2FC4">
        <w:rPr>
          <w:rFonts w:ascii="Franklin Gothic Book" w:hAnsi="Franklin Gothic Book"/>
        </w:rPr>
        <w:t xml:space="preserve"> below, </w:t>
      </w:r>
      <w:r w:rsidR="00035918">
        <w:rPr>
          <w:rFonts w:ascii="Franklin Gothic Book" w:hAnsi="Franklin Gothic Book"/>
        </w:rPr>
        <w:t>most CBOs that deliver MTMs</w:t>
      </w:r>
      <w:r w:rsidRPr="763A2FC4">
        <w:rPr>
          <w:rFonts w:ascii="Franklin Gothic Book" w:hAnsi="Franklin Gothic Book"/>
        </w:rPr>
        <w:t xml:space="preserve"> regularly work closely with such billing providers through contractual arrangements.  </w:t>
      </w:r>
    </w:p>
    <w:p w14:paraId="78A1E9DB" w14:textId="62002B87" w:rsidR="00A86626" w:rsidRPr="00061688" w:rsidRDefault="07D68AEC" w:rsidP="21662357">
      <w:pPr>
        <w:rPr>
          <w:rFonts w:ascii="Franklin Gothic Book" w:hAnsi="Franklin Gothic Book"/>
        </w:rPr>
      </w:pPr>
      <w:r w:rsidRPr="00061688">
        <w:rPr>
          <w:rFonts w:ascii="Franklin Gothic Book" w:hAnsi="Franklin Gothic Book"/>
        </w:rPr>
        <w:t xml:space="preserve">Moreover, </w:t>
      </w:r>
      <w:r w:rsidR="00035918">
        <w:rPr>
          <w:rFonts w:ascii="Franklin Gothic Book" w:hAnsi="Franklin Gothic Book"/>
        </w:rPr>
        <w:t>MTM agencies</w:t>
      </w:r>
      <w:r w:rsidR="00CF6B95" w:rsidRPr="00061688">
        <w:rPr>
          <w:rFonts w:ascii="Franklin Gothic Book" w:hAnsi="Franklin Gothic Book"/>
        </w:rPr>
        <w:t xml:space="preserve"> do typically employ one or more </w:t>
      </w:r>
      <w:r w:rsidR="000D3D52">
        <w:rPr>
          <w:rFonts w:ascii="Franklin Gothic Book" w:hAnsi="Franklin Gothic Book"/>
        </w:rPr>
        <w:t>R</w:t>
      </w:r>
      <w:r w:rsidR="00CF6B95" w:rsidRPr="00061688">
        <w:rPr>
          <w:rFonts w:ascii="Franklin Gothic Book" w:hAnsi="Franklin Gothic Book"/>
        </w:rPr>
        <w:t xml:space="preserve">egistered </w:t>
      </w:r>
      <w:r w:rsidR="000D3D52">
        <w:rPr>
          <w:rFonts w:ascii="Franklin Gothic Book" w:hAnsi="Franklin Gothic Book"/>
        </w:rPr>
        <w:t>D</w:t>
      </w:r>
      <w:r w:rsidR="00CF6B95" w:rsidRPr="00061688">
        <w:rPr>
          <w:rFonts w:ascii="Franklin Gothic Book" w:hAnsi="Franklin Gothic Book"/>
        </w:rPr>
        <w:t xml:space="preserve">ietitian </w:t>
      </w:r>
      <w:r w:rsidR="000D3D52">
        <w:rPr>
          <w:rFonts w:ascii="Franklin Gothic Book" w:hAnsi="Franklin Gothic Book"/>
        </w:rPr>
        <w:t>N</w:t>
      </w:r>
      <w:r w:rsidR="00CF6B95" w:rsidRPr="00061688">
        <w:rPr>
          <w:rFonts w:ascii="Franklin Gothic Book" w:hAnsi="Franklin Gothic Book"/>
        </w:rPr>
        <w:t xml:space="preserve">utritionists (RDNs), a category of </w:t>
      </w:r>
      <w:r w:rsidR="00470727" w:rsidRPr="00061688">
        <w:rPr>
          <w:rFonts w:ascii="Franklin Gothic Book" w:hAnsi="Franklin Gothic Book"/>
        </w:rPr>
        <w:t xml:space="preserve">practitioners currently authorized to deliver and bill </w:t>
      </w:r>
      <w:r w:rsidR="00F36E7F" w:rsidRPr="00061688">
        <w:rPr>
          <w:rFonts w:ascii="Franklin Gothic Book" w:hAnsi="Franklin Gothic Book"/>
        </w:rPr>
        <w:t>several nutrition</w:t>
      </w:r>
      <w:r w:rsidR="00262D64" w:rsidRPr="00061688">
        <w:rPr>
          <w:rFonts w:ascii="Franklin Gothic Book" w:hAnsi="Franklin Gothic Book"/>
        </w:rPr>
        <w:t>-related services in the Medicare program</w:t>
      </w:r>
      <w:r w:rsidR="00B31265" w:rsidRPr="00061688">
        <w:rPr>
          <w:rFonts w:ascii="Franklin Gothic Book" w:hAnsi="Franklin Gothic Book"/>
        </w:rPr>
        <w:t xml:space="preserve">, including </w:t>
      </w:r>
      <w:r w:rsidR="00C520CB" w:rsidRPr="00061688">
        <w:rPr>
          <w:rFonts w:ascii="Franklin Gothic Book" w:hAnsi="Franklin Gothic Book"/>
        </w:rPr>
        <w:t>medical nutrition therapy</w:t>
      </w:r>
      <w:r w:rsidR="00345396" w:rsidRPr="00061688">
        <w:rPr>
          <w:rFonts w:ascii="Franklin Gothic Book" w:hAnsi="Franklin Gothic Book"/>
        </w:rPr>
        <w:t xml:space="preserve"> (MNT),</w:t>
      </w:r>
      <w:r w:rsidR="006A26BF" w:rsidRPr="00061688">
        <w:rPr>
          <w:rStyle w:val="EndnoteReference"/>
          <w:rFonts w:ascii="Franklin Gothic Book" w:hAnsi="Franklin Gothic Book"/>
        </w:rPr>
        <w:endnoteReference w:id="26"/>
      </w:r>
      <w:r w:rsidR="00C520CB" w:rsidRPr="00061688">
        <w:rPr>
          <w:rFonts w:ascii="Franklin Gothic Book" w:hAnsi="Franklin Gothic Book"/>
        </w:rPr>
        <w:t xml:space="preserve"> diabetes</w:t>
      </w:r>
      <w:r w:rsidR="00EC7ACC" w:rsidRPr="00061688">
        <w:rPr>
          <w:rFonts w:ascii="Franklin Gothic Book" w:hAnsi="Franklin Gothic Book"/>
        </w:rPr>
        <w:t xml:space="preserve"> </w:t>
      </w:r>
      <w:r w:rsidR="00C520CB" w:rsidRPr="00061688">
        <w:rPr>
          <w:rFonts w:ascii="Franklin Gothic Book" w:hAnsi="Franklin Gothic Book"/>
        </w:rPr>
        <w:t>self-management training</w:t>
      </w:r>
      <w:r w:rsidR="001C7A7E" w:rsidRPr="00061688">
        <w:rPr>
          <w:rFonts w:ascii="Franklin Gothic Book" w:hAnsi="Franklin Gothic Book"/>
        </w:rPr>
        <w:t xml:space="preserve"> </w:t>
      </w:r>
      <w:r w:rsidR="00345396" w:rsidRPr="00061688">
        <w:rPr>
          <w:rFonts w:ascii="Franklin Gothic Book" w:hAnsi="Franklin Gothic Book"/>
        </w:rPr>
        <w:t xml:space="preserve">(DSMT) </w:t>
      </w:r>
      <w:r w:rsidR="001C7A7E" w:rsidRPr="00061688">
        <w:rPr>
          <w:rFonts w:ascii="Franklin Gothic Book" w:hAnsi="Franklin Gothic Book"/>
        </w:rPr>
        <w:t>services,</w:t>
      </w:r>
      <w:r w:rsidR="001C7A7E" w:rsidRPr="00061688">
        <w:rPr>
          <w:rStyle w:val="EndnoteReference"/>
          <w:rFonts w:ascii="Franklin Gothic Book" w:hAnsi="Franklin Gothic Book"/>
        </w:rPr>
        <w:endnoteReference w:id="27"/>
      </w:r>
      <w:r w:rsidR="009E3C02" w:rsidRPr="00061688">
        <w:rPr>
          <w:rFonts w:ascii="Franklin Gothic Book" w:hAnsi="Franklin Gothic Book"/>
        </w:rPr>
        <w:t xml:space="preserve"> and caregiver training.</w:t>
      </w:r>
      <w:r w:rsidR="00CF6B95" w:rsidRPr="00061688">
        <w:rPr>
          <w:rStyle w:val="EndnoteReference"/>
          <w:rFonts w:ascii="Franklin Gothic Book" w:hAnsi="Franklin Gothic Book"/>
        </w:rPr>
        <w:endnoteReference w:id="28"/>
      </w:r>
      <w:r w:rsidR="009E3C02" w:rsidRPr="00061688">
        <w:rPr>
          <w:rFonts w:ascii="Franklin Gothic Book" w:hAnsi="Franklin Gothic Book"/>
        </w:rPr>
        <w:t xml:space="preserve"> </w:t>
      </w:r>
    </w:p>
    <w:p w14:paraId="4327D82C" w14:textId="4DF29B97" w:rsidR="00A86626" w:rsidRPr="00061688" w:rsidRDefault="0E0CD42A" w:rsidP="21662357">
      <w:pPr>
        <w:rPr>
          <w:rFonts w:ascii="Franklin Gothic Book" w:hAnsi="Franklin Gothic Book"/>
        </w:rPr>
      </w:pPr>
      <w:hyperlink r:id="rId18">
        <w:r w:rsidRPr="0E0CD42A">
          <w:rPr>
            <w:rStyle w:val="Hyperlink"/>
            <w:rFonts w:ascii="Franklin Gothic Book" w:hAnsi="Franklin Gothic Book"/>
          </w:rPr>
          <w:t>Registered Dietitian Nutritionists (RDNs)</w:t>
        </w:r>
      </w:hyperlink>
      <w:r w:rsidRPr="0E0CD42A">
        <w:rPr>
          <w:rFonts w:ascii="Franklin Gothic Book" w:hAnsi="Franklin Gothic Book"/>
        </w:rPr>
        <w:t xml:space="preserve"> are “food and nutrition experts with a minimum of a graduate degree from an accredited dietetics program, who completed a supervised practice requirement, passed a national exam and continue professional development throughout their careers.” In addition, there are specialty credentials in the field of dietetics. Board-certified specialists are credentialed by the Commission on Dietetic Registration, the credentialing agency for the Academy of Nutrition and Dietetics.</w:t>
      </w:r>
    </w:p>
    <w:p w14:paraId="17E86EF8" w14:textId="3F2960A9" w:rsidR="1AC6925E" w:rsidRPr="00061688" w:rsidRDefault="009E3C02" w:rsidP="0016095C">
      <w:pPr>
        <w:rPr>
          <w:rFonts w:ascii="Franklin Gothic Book" w:hAnsi="Franklin Gothic Book"/>
        </w:rPr>
      </w:pPr>
      <w:r w:rsidRPr="00061688">
        <w:rPr>
          <w:rFonts w:ascii="Franklin Gothic Book" w:hAnsi="Franklin Gothic Book"/>
        </w:rPr>
        <w:t xml:space="preserve">RDNs are deeply integrated into the provision of MTM services and have been involved in providing the </w:t>
      </w:r>
      <w:r w:rsidR="00953F73">
        <w:rPr>
          <w:rFonts w:ascii="Franklin Gothic Book" w:hAnsi="Franklin Gothic Book"/>
        </w:rPr>
        <w:t xml:space="preserve">MTM </w:t>
      </w:r>
      <w:r w:rsidRPr="00061688">
        <w:rPr>
          <w:rFonts w:ascii="Franklin Gothic Book" w:hAnsi="Franklin Gothic Book"/>
        </w:rPr>
        <w:t xml:space="preserve">intervention since its inception, </w:t>
      </w:r>
      <w:r w:rsidR="21662357" w:rsidRPr="21662357">
        <w:rPr>
          <w:rFonts w:ascii="Franklin Gothic Book" w:hAnsi="Franklin Gothic Book"/>
        </w:rPr>
        <w:t>applying their expertise in nutrition to implement the science of layering evidence-based</w:t>
      </w:r>
      <w:r w:rsidR="005F799E">
        <w:rPr>
          <w:rFonts w:ascii="Franklin Gothic Book" w:hAnsi="Franklin Gothic Book"/>
        </w:rPr>
        <w:t>,</w:t>
      </w:r>
      <w:r w:rsidR="21662357" w:rsidRPr="21662357">
        <w:rPr>
          <w:rFonts w:ascii="Franklin Gothic Book" w:hAnsi="Franklin Gothic Book"/>
        </w:rPr>
        <w:t xml:space="preserve"> therapeutic dietary guidelines for conditions to care for patients with complex medical needs and dietary requirements. </w:t>
      </w:r>
    </w:p>
    <w:p w14:paraId="38F00C02" w14:textId="5603ACB2" w:rsidR="07D68AEC" w:rsidRPr="00061688" w:rsidRDefault="763A2FC4" w:rsidP="21662357">
      <w:pPr>
        <w:rPr>
          <w:rFonts w:ascii="Franklin Gothic Book" w:eastAsia="Aptos" w:hAnsi="Franklin Gothic Book" w:cs="Aptos"/>
        </w:rPr>
      </w:pPr>
      <w:r w:rsidRPr="763A2FC4">
        <w:rPr>
          <w:rFonts w:ascii="Franklin Gothic Book" w:hAnsi="Franklin Gothic Book"/>
        </w:rPr>
        <w:t>At FIMC agencies, RDNs are</w:t>
      </w:r>
      <w:r w:rsidRPr="763A2FC4">
        <w:rPr>
          <w:rFonts w:ascii="Franklin Gothic Book" w:eastAsia="Aptos" w:hAnsi="Franklin Gothic Book" w:cs="Aptos"/>
        </w:rPr>
        <w:t xml:space="preserve"> integrated throughout the MTM intervention process. For example, RDNs:</w:t>
      </w:r>
    </w:p>
    <w:p w14:paraId="69D76D66" w14:textId="677AC2FA" w:rsidR="07D68AEC" w:rsidRPr="00A10518" w:rsidRDefault="21662357" w:rsidP="00A10518">
      <w:pPr>
        <w:pStyle w:val="ListParagraph"/>
        <w:numPr>
          <w:ilvl w:val="0"/>
          <w:numId w:val="84"/>
        </w:numPr>
      </w:pPr>
      <w:r w:rsidRPr="001D0092">
        <w:rPr>
          <w:rFonts w:ascii="Franklin Gothic Book" w:eastAsia="Aptos" w:hAnsi="Franklin Gothic Book" w:cs="Aptos"/>
        </w:rPr>
        <w:t xml:space="preserve">collaborate with kitchen staff to ensure meals adhere to </w:t>
      </w:r>
      <w:r w:rsidR="001D0092" w:rsidRPr="0088517C">
        <w:rPr>
          <w:rFonts w:ascii="Franklin Gothic Book" w:eastAsia="Aptos" w:hAnsi="Franklin Gothic Book" w:cs="Aptos"/>
        </w:rPr>
        <w:t>nutrition standards</w:t>
      </w:r>
      <w:r w:rsidR="001D0092">
        <w:t xml:space="preserve">—such as </w:t>
      </w:r>
      <w:r w:rsidRPr="001D0092">
        <w:rPr>
          <w:rFonts w:ascii="Franklin Gothic Book" w:eastAsia="Aptos" w:hAnsi="Franklin Gothic Book" w:cs="Aptos"/>
        </w:rPr>
        <w:t xml:space="preserve">the FIMC </w:t>
      </w:r>
      <w:hyperlink r:id="rId19" w:history="1">
        <w:r w:rsidRPr="001D0092">
          <w:rPr>
            <w:rStyle w:val="Hyperlink"/>
            <w:rFonts w:ascii="Franklin Gothic Book" w:eastAsia="Aptos" w:hAnsi="Franklin Gothic Book" w:cs="Aptos"/>
          </w:rPr>
          <w:t>Medically Tailored Meal (MTM) Nutrition Standards</w:t>
        </w:r>
      </w:hyperlink>
      <w:r w:rsidR="001D0092">
        <w:t>—</w:t>
      </w:r>
      <w:r w:rsidRPr="00A10518">
        <w:rPr>
          <w:rFonts w:ascii="Franklin Gothic Book" w:eastAsia="Aptos" w:hAnsi="Franklin Gothic Book" w:cs="Aptos"/>
        </w:rPr>
        <w:t xml:space="preserve">and lead food safety policies at agencies, </w:t>
      </w:r>
    </w:p>
    <w:p w14:paraId="174F1B3F" w14:textId="4AF1460A" w:rsidR="07D68AEC" w:rsidRPr="00061688" w:rsidRDefault="21662357" w:rsidP="00BC399A">
      <w:pPr>
        <w:pStyle w:val="ListParagraph"/>
        <w:numPr>
          <w:ilvl w:val="0"/>
          <w:numId w:val="1"/>
        </w:numPr>
        <w:rPr>
          <w:rFonts w:ascii="Franklin Gothic Book" w:hAnsi="Franklin Gothic Book"/>
        </w:rPr>
      </w:pPr>
      <w:r w:rsidRPr="21662357">
        <w:rPr>
          <w:rFonts w:ascii="Franklin Gothic Book" w:hAnsi="Franklin Gothic Book"/>
        </w:rPr>
        <w:t xml:space="preserve">complete a nutrition assessment for each client, involving review and documentation of </w:t>
      </w:r>
      <w:r w:rsidR="00BC399A">
        <w:rPr>
          <w:rFonts w:ascii="Franklin Gothic Book" w:hAnsi="Franklin Gothic Book"/>
        </w:rPr>
        <w:t xml:space="preserve">available </w:t>
      </w:r>
      <w:r w:rsidRPr="21662357">
        <w:rPr>
          <w:rFonts w:ascii="Franklin Gothic Book" w:hAnsi="Franklin Gothic Book"/>
        </w:rPr>
        <w:t xml:space="preserve">information such as food or nutrition-related history; biochemical data, medical tests and procedures; anthropometric measurements, nutrition-focused physical findings and client history, </w:t>
      </w:r>
    </w:p>
    <w:p w14:paraId="55D4D174" w14:textId="723E1A7B" w:rsidR="07D68AEC" w:rsidRPr="00061688" w:rsidRDefault="07D68AEC" w:rsidP="00BC399A">
      <w:pPr>
        <w:pStyle w:val="ListParagraph"/>
        <w:numPr>
          <w:ilvl w:val="0"/>
          <w:numId w:val="1"/>
        </w:numPr>
        <w:rPr>
          <w:rFonts w:ascii="Franklin Gothic Book" w:hAnsi="Franklin Gothic Book"/>
        </w:rPr>
      </w:pPr>
      <w:r w:rsidRPr="21662357">
        <w:rPr>
          <w:rFonts w:ascii="Franklin Gothic Book" w:hAnsi="Franklin Gothic Book"/>
        </w:rPr>
        <w:t>assign</w:t>
      </w:r>
      <w:r w:rsidR="00BC399A">
        <w:rPr>
          <w:rFonts w:ascii="Franklin Gothic Book" w:hAnsi="Franklin Gothic Book"/>
        </w:rPr>
        <w:t xml:space="preserve"> </w:t>
      </w:r>
      <w:r w:rsidR="21662357" w:rsidRPr="21662357">
        <w:rPr>
          <w:rFonts w:ascii="Franklin Gothic Book" w:hAnsi="Franklin Gothic Book"/>
        </w:rPr>
        <w:t xml:space="preserve">an appropriate </w:t>
      </w:r>
      <w:r w:rsidR="21662357" w:rsidRPr="21662357">
        <w:rPr>
          <w:rFonts w:ascii="Franklin Gothic Book" w:eastAsia="Aptos" w:hAnsi="Franklin Gothic Book" w:cs="Aptos"/>
        </w:rPr>
        <w:t>meal</w:t>
      </w:r>
      <w:r w:rsidR="00BC399A">
        <w:rPr>
          <w:rFonts w:ascii="Franklin Gothic Book" w:eastAsia="Aptos" w:hAnsi="Franklin Gothic Book" w:cs="Aptos"/>
        </w:rPr>
        <w:t xml:space="preserve"> </w:t>
      </w:r>
      <w:r w:rsidRPr="21662357">
        <w:rPr>
          <w:rFonts w:ascii="Franklin Gothic Book" w:eastAsia="Aptos" w:hAnsi="Franklin Gothic Book" w:cs="Aptos"/>
        </w:rPr>
        <w:t xml:space="preserve">and </w:t>
      </w:r>
      <w:r w:rsidR="21662357" w:rsidRPr="21662357">
        <w:rPr>
          <w:rFonts w:ascii="Franklin Gothic Book" w:eastAsia="Aptos" w:hAnsi="Franklin Gothic Book" w:cs="Aptos"/>
        </w:rPr>
        <w:t>care plan tailored for the medical circumstances of the client</w:t>
      </w:r>
      <w:r w:rsidR="00BC399A">
        <w:rPr>
          <w:rFonts w:ascii="Franklin Gothic Book" w:eastAsia="Aptos" w:hAnsi="Franklin Gothic Book" w:cs="Aptos"/>
        </w:rPr>
        <w:t xml:space="preserve">, </w:t>
      </w:r>
    </w:p>
    <w:p w14:paraId="702484A2" w14:textId="5A18CA61" w:rsidR="005F220F" w:rsidRDefault="12B15671" w:rsidP="00BC399A">
      <w:pPr>
        <w:pStyle w:val="ListParagraph"/>
        <w:numPr>
          <w:ilvl w:val="0"/>
          <w:numId w:val="1"/>
        </w:numPr>
        <w:rPr>
          <w:rFonts w:ascii="Franklin Gothic Book" w:hAnsi="Franklin Gothic Book"/>
        </w:rPr>
      </w:pPr>
      <w:r w:rsidRPr="12B15671">
        <w:rPr>
          <w:rFonts w:ascii="Franklin Gothic Book" w:hAnsi="Franklin Gothic Book"/>
        </w:rPr>
        <w:t>provide ongoing access to medical nutrition therapy, nutrition counseling, and nutrition education throughout the term of service (</w:t>
      </w:r>
      <w:r w:rsidR="763A2FC4" w:rsidRPr="763A2FC4">
        <w:rPr>
          <w:rFonts w:ascii="Franklin Gothic Book" w:hAnsi="Franklin Gothic Book"/>
        </w:rPr>
        <w:t xml:space="preserve">*medical nutrition therapy is </w:t>
      </w:r>
      <w:r w:rsidR="763A2FC4" w:rsidRPr="763A2FC4">
        <w:rPr>
          <w:rFonts w:ascii="Franklin Gothic Book" w:hAnsi="Franklin Gothic Book"/>
        </w:rPr>
        <w:lastRenderedPageBreak/>
        <w:t xml:space="preserve">currently covered in the Medicare program, but limited to </w:t>
      </w:r>
      <w:r w:rsidRPr="12B15671">
        <w:rPr>
          <w:rFonts w:ascii="Franklin Gothic Book" w:hAnsi="Franklin Gothic Book"/>
        </w:rPr>
        <w:t>diagnoses of diabetes, chronic kidney disease, or 36-months post-kidney transplant)</w:t>
      </w:r>
      <w:r w:rsidR="21662357" w:rsidRPr="12B15671">
        <w:rPr>
          <w:rStyle w:val="EndnoteReference"/>
          <w:rFonts w:ascii="Franklin Gothic Book" w:hAnsi="Franklin Gothic Book"/>
        </w:rPr>
        <w:endnoteReference w:id="29"/>
      </w:r>
      <w:r w:rsidRPr="12B15671">
        <w:rPr>
          <w:rFonts w:ascii="Franklin Gothic Book" w:hAnsi="Franklin Gothic Book"/>
        </w:rPr>
        <w:t>,</w:t>
      </w:r>
      <w:r w:rsidR="763A2FC4" w:rsidRPr="763A2FC4">
        <w:rPr>
          <w:rFonts w:ascii="Franklin Gothic Book" w:hAnsi="Franklin Gothic Book"/>
        </w:rPr>
        <w:t xml:space="preserve"> </w:t>
      </w:r>
    </w:p>
    <w:p w14:paraId="620DEB3E" w14:textId="2F086557" w:rsidR="07D68AEC" w:rsidRPr="00061688" w:rsidRDefault="21662357" w:rsidP="00BC399A">
      <w:pPr>
        <w:pStyle w:val="ListParagraph"/>
        <w:numPr>
          <w:ilvl w:val="0"/>
          <w:numId w:val="1"/>
        </w:numPr>
        <w:rPr>
          <w:rFonts w:ascii="Franklin Gothic Book" w:hAnsi="Franklin Gothic Book"/>
        </w:rPr>
      </w:pPr>
      <w:r w:rsidRPr="21662357">
        <w:rPr>
          <w:rFonts w:ascii="Franklin Gothic Book" w:hAnsi="Franklin Gothic Book"/>
        </w:rPr>
        <w:t>supervise RDNs-in-training, and qualified dietetic technicians, registered (DTR) within their agency, or partner with similar roles on treatment teams for clients, though RDNs are the primary provider of nutrition services.</w:t>
      </w:r>
    </w:p>
    <w:p w14:paraId="303764C9" w14:textId="655C8A7D" w:rsidR="005F220F" w:rsidRDefault="07D68AEC" w:rsidP="0016095C">
      <w:pPr>
        <w:rPr>
          <w:rFonts w:ascii="Franklin Gothic Book" w:hAnsi="Franklin Gothic Book"/>
        </w:rPr>
      </w:pPr>
      <w:r w:rsidRPr="00061688">
        <w:rPr>
          <w:rFonts w:ascii="Franklin Gothic Book" w:hAnsi="Franklin Gothic Book"/>
        </w:rPr>
        <w:t xml:space="preserve">While we recognize that RDNs do not currently have the authority to </w:t>
      </w:r>
      <w:r w:rsidR="763A2FC4" w:rsidRPr="763A2FC4">
        <w:rPr>
          <w:rFonts w:ascii="Franklin Gothic Book" w:hAnsi="Franklin Gothic Book"/>
        </w:rPr>
        <w:t xml:space="preserve">submit claims </w:t>
      </w:r>
      <w:r w:rsidRPr="00061688">
        <w:rPr>
          <w:rFonts w:ascii="Franklin Gothic Book" w:hAnsi="Franklin Gothic Book"/>
        </w:rPr>
        <w:t>for</w:t>
      </w:r>
      <w:r w:rsidR="763A2FC4" w:rsidRPr="763A2FC4">
        <w:rPr>
          <w:rFonts w:ascii="Franklin Gothic Book" w:hAnsi="Franklin Gothic Book"/>
        </w:rPr>
        <w:t xml:space="preserve"> services provided by auxiliary personnel incident to their </w:t>
      </w:r>
      <w:r w:rsidR="005F799E" w:rsidRPr="763A2FC4">
        <w:rPr>
          <w:rFonts w:ascii="Franklin Gothic Book" w:hAnsi="Franklin Gothic Book"/>
        </w:rPr>
        <w:t xml:space="preserve">services, </w:t>
      </w:r>
      <w:r w:rsidR="005F799E" w:rsidRPr="00061688">
        <w:rPr>
          <w:rFonts w:ascii="Franklin Gothic Book" w:hAnsi="Franklin Gothic Book"/>
        </w:rPr>
        <w:t>we</w:t>
      </w:r>
      <w:r w:rsidRPr="00061688">
        <w:rPr>
          <w:rFonts w:ascii="Franklin Gothic Book" w:hAnsi="Franklin Gothic Book"/>
        </w:rPr>
        <w:t xml:space="preserve"> urge CMS to consider whether there are opportunitie</w:t>
      </w:r>
      <w:r w:rsidR="763A2FC4" w:rsidRPr="763A2FC4">
        <w:rPr>
          <w:rFonts w:ascii="Franklin Gothic Book" w:hAnsi="Franklin Gothic Book"/>
        </w:rPr>
        <w:t xml:space="preserve">s and potential benefits </w:t>
      </w:r>
      <w:r w:rsidRPr="00061688">
        <w:rPr>
          <w:rFonts w:ascii="Franklin Gothic Book" w:hAnsi="Franklin Gothic Book"/>
        </w:rPr>
        <w:t>to</w:t>
      </w:r>
      <w:r w:rsidR="002876C7">
        <w:rPr>
          <w:rFonts w:ascii="Franklin Gothic Book" w:hAnsi="Franklin Gothic Book"/>
        </w:rPr>
        <w:t xml:space="preserve"> </w:t>
      </w:r>
      <w:r w:rsidR="763A2FC4" w:rsidRPr="763A2FC4">
        <w:rPr>
          <w:rFonts w:ascii="Franklin Gothic Book" w:hAnsi="Franklin Gothic Book"/>
        </w:rPr>
        <w:t>recognizing</w:t>
      </w:r>
      <w:r w:rsidRPr="00061688">
        <w:rPr>
          <w:rFonts w:ascii="Franklin Gothic Book" w:hAnsi="Franklin Gothic Book"/>
        </w:rPr>
        <w:t xml:space="preserve"> RDNs </w:t>
      </w:r>
      <w:r w:rsidR="763A2FC4" w:rsidRPr="763A2FC4">
        <w:rPr>
          <w:rFonts w:ascii="Franklin Gothic Book" w:hAnsi="Franklin Gothic Book"/>
        </w:rPr>
        <w:t>as qualified billing providers who may directly bill</w:t>
      </w:r>
      <w:r w:rsidR="002876C7">
        <w:rPr>
          <w:rFonts w:ascii="Franklin Gothic Book" w:hAnsi="Franklin Gothic Book"/>
        </w:rPr>
        <w:t xml:space="preserve"> </w:t>
      </w:r>
      <w:r w:rsidR="763A2FC4" w:rsidRPr="763A2FC4">
        <w:rPr>
          <w:rFonts w:ascii="Franklin Gothic Book" w:hAnsi="Franklin Gothic Book"/>
        </w:rPr>
        <w:t xml:space="preserve">(i.e., submit claims) for MTM services on behalf of qualified MTM provider organizations/suppliers. This approach would be </w:t>
      </w:r>
      <w:r w:rsidRPr="00061688">
        <w:rPr>
          <w:rFonts w:ascii="Franklin Gothic Book" w:hAnsi="Franklin Gothic Book"/>
        </w:rPr>
        <w:t xml:space="preserve">similar to </w:t>
      </w:r>
      <w:r w:rsidR="763A2FC4" w:rsidRPr="763A2FC4">
        <w:rPr>
          <w:rFonts w:ascii="Franklin Gothic Book" w:hAnsi="Franklin Gothic Book"/>
        </w:rPr>
        <w:t>CMS’s current recognition of the</w:t>
      </w:r>
      <w:r w:rsidRPr="00061688">
        <w:rPr>
          <w:rFonts w:ascii="Franklin Gothic Book" w:hAnsi="Franklin Gothic Book"/>
        </w:rPr>
        <w:t xml:space="preserve"> RDN</w:t>
      </w:r>
      <w:r w:rsidR="763A2FC4" w:rsidRPr="763A2FC4">
        <w:rPr>
          <w:rFonts w:ascii="Franklin Gothic Book" w:hAnsi="Franklin Gothic Book"/>
        </w:rPr>
        <w:t xml:space="preserve"> as a qualified billing provider for </w:t>
      </w:r>
      <w:r w:rsidR="763A2FC4" w:rsidRPr="763A2FC4">
        <w:rPr>
          <w:rFonts w:ascii="Franklin Gothic Book" w:hAnsi="Franklin Gothic Book"/>
        </w:rPr>
        <w:t>d</w:t>
      </w:r>
      <w:r w:rsidR="763A2FC4" w:rsidRPr="763A2FC4">
        <w:rPr>
          <w:rFonts w:ascii="Franklin Gothic Book" w:hAnsi="Franklin Gothic Book"/>
        </w:rPr>
        <w:t xml:space="preserve">iabetes </w:t>
      </w:r>
      <w:r w:rsidR="763A2FC4" w:rsidRPr="763A2FC4">
        <w:rPr>
          <w:rFonts w:ascii="Franklin Gothic Book" w:hAnsi="Franklin Gothic Book"/>
        </w:rPr>
        <w:t>s</w:t>
      </w:r>
      <w:r w:rsidR="002876C7" w:rsidRPr="763A2FC4">
        <w:rPr>
          <w:rFonts w:ascii="Franklin Gothic Book" w:hAnsi="Franklin Gothic Book"/>
        </w:rPr>
        <w:t>elf-</w:t>
      </w:r>
      <w:r w:rsidR="002876C7" w:rsidRPr="763A2FC4">
        <w:rPr>
          <w:rFonts w:ascii="Franklin Gothic Book" w:hAnsi="Franklin Gothic Book"/>
        </w:rPr>
        <w:t>m</w:t>
      </w:r>
      <w:r w:rsidR="002876C7" w:rsidRPr="763A2FC4">
        <w:rPr>
          <w:rFonts w:ascii="Franklin Gothic Book" w:hAnsi="Franklin Gothic Book"/>
        </w:rPr>
        <w:t>anagement</w:t>
      </w:r>
      <w:r w:rsidR="763A2FC4" w:rsidRPr="763A2FC4">
        <w:rPr>
          <w:rFonts w:ascii="Franklin Gothic Book" w:hAnsi="Franklin Gothic Book"/>
        </w:rPr>
        <w:t xml:space="preserve"> </w:t>
      </w:r>
      <w:r w:rsidR="763A2FC4" w:rsidRPr="763A2FC4">
        <w:rPr>
          <w:rFonts w:ascii="Franklin Gothic Book" w:hAnsi="Franklin Gothic Book"/>
        </w:rPr>
        <w:t>t</w:t>
      </w:r>
      <w:r w:rsidR="763A2FC4" w:rsidRPr="763A2FC4">
        <w:rPr>
          <w:rFonts w:ascii="Franklin Gothic Book" w:hAnsi="Franklin Gothic Book"/>
        </w:rPr>
        <w:t>raining (DSMT)</w:t>
      </w:r>
      <w:r w:rsidRPr="00061688">
        <w:rPr>
          <w:rFonts w:ascii="Franklin Gothic Book" w:hAnsi="Franklin Gothic Book"/>
        </w:rPr>
        <w:t xml:space="preserve"> services</w:t>
      </w:r>
      <w:r w:rsidR="763A2FC4" w:rsidRPr="763A2FC4">
        <w:rPr>
          <w:rFonts w:ascii="Franklin Gothic Book" w:hAnsi="Franklin Gothic Book"/>
        </w:rPr>
        <w:t xml:space="preserve"> who may submit claims</w:t>
      </w:r>
      <w:r w:rsidRPr="00061688">
        <w:rPr>
          <w:rFonts w:ascii="Franklin Gothic Book" w:hAnsi="Franklin Gothic Book"/>
        </w:rPr>
        <w:t xml:space="preserve"> on behalf of</w:t>
      </w:r>
      <w:r w:rsidR="763A2FC4" w:rsidRPr="763A2FC4">
        <w:rPr>
          <w:rFonts w:ascii="Franklin Gothic Book" w:hAnsi="Franklin Gothic Book"/>
        </w:rPr>
        <w:t xml:space="preserve"> a DSMT Accredited</w:t>
      </w:r>
      <w:r w:rsidRPr="00061688">
        <w:rPr>
          <w:rFonts w:ascii="Franklin Gothic Book" w:hAnsi="Franklin Gothic Book"/>
        </w:rPr>
        <w:t xml:space="preserve"> program</w:t>
      </w:r>
      <w:r w:rsidR="763A2FC4" w:rsidRPr="763A2FC4">
        <w:rPr>
          <w:rFonts w:ascii="Franklin Gothic Book" w:hAnsi="Franklin Gothic Book"/>
        </w:rPr>
        <w:t>.</w:t>
      </w:r>
      <w:r w:rsidRPr="00061688">
        <w:rPr>
          <w:rStyle w:val="EndnoteReference"/>
          <w:rFonts w:ascii="Franklin Gothic Book" w:hAnsi="Franklin Gothic Book"/>
        </w:rPr>
        <w:endnoteReference w:id="30"/>
      </w:r>
      <w:r w:rsidRPr="00061688">
        <w:rPr>
          <w:rFonts w:ascii="Franklin Gothic Book" w:hAnsi="Franklin Gothic Book"/>
        </w:rPr>
        <w:t xml:space="preserve"> CMS could consider piloting such an approach via the CMS Innovation Center, testing the impact of allowing RDN</w:t>
      </w:r>
      <w:r w:rsidR="763A2FC4" w:rsidRPr="763A2FC4">
        <w:rPr>
          <w:rFonts w:ascii="Franklin Gothic Book" w:hAnsi="Franklin Gothic Book"/>
        </w:rPr>
        <w:t xml:space="preserve">s to </w:t>
      </w:r>
      <w:r w:rsidR="00D76974">
        <w:rPr>
          <w:rFonts w:ascii="Franklin Gothic Book" w:hAnsi="Franklin Gothic Book"/>
        </w:rPr>
        <w:t>directly bill</w:t>
      </w:r>
      <w:r w:rsidR="763A2FC4" w:rsidRPr="763A2FC4">
        <w:rPr>
          <w:rFonts w:ascii="Franklin Gothic Book" w:hAnsi="Franklin Gothic Book"/>
        </w:rPr>
        <w:t xml:space="preserve"> </w:t>
      </w:r>
      <w:r w:rsidRPr="00061688">
        <w:rPr>
          <w:rFonts w:ascii="Franklin Gothic Book" w:hAnsi="Franklin Gothic Book"/>
        </w:rPr>
        <w:t xml:space="preserve">for the codes established in response to this RFI. </w:t>
      </w:r>
      <w:r w:rsidR="763A2FC4" w:rsidRPr="763A2FC4">
        <w:rPr>
          <w:rFonts w:ascii="Franklin Gothic Book" w:hAnsi="Franklin Gothic Book"/>
        </w:rPr>
        <w:t>Testing this approach via the CMS Innovation Center could also allow CMS to experiment with expanding access to medical nutrition therapy to additional diagnoses and to evaluate impact.</w:t>
      </w:r>
    </w:p>
    <w:p w14:paraId="0A5687D7" w14:textId="20F6CAA2" w:rsidR="07D68AEC" w:rsidRPr="00061688" w:rsidRDefault="07D68AEC" w:rsidP="0016095C">
      <w:pPr>
        <w:rPr>
          <w:rFonts w:ascii="Franklin Gothic Book" w:hAnsi="Franklin Gothic Book"/>
        </w:rPr>
      </w:pPr>
      <w:r w:rsidRPr="00061688">
        <w:rPr>
          <w:rFonts w:ascii="Franklin Gothic Book" w:hAnsi="Franklin Gothic Book"/>
        </w:rPr>
        <w:t xml:space="preserve">Alternatively, CMS could consider whether it would be possible—under current authority—to allow RDNs to </w:t>
      </w:r>
      <w:r w:rsidRPr="12B15671" w:rsidDel="12B15671">
        <w:rPr>
          <w:rFonts w:ascii="Franklin Gothic Book" w:hAnsi="Franklin Gothic Book"/>
        </w:rPr>
        <w:t>engage in direct billing</w:t>
      </w:r>
      <w:r w:rsidRPr="00061688">
        <w:rPr>
          <w:rFonts w:ascii="Franklin Gothic Book" w:hAnsi="Franklin Gothic Book"/>
        </w:rPr>
        <w:t xml:space="preserve"> for</w:t>
      </w:r>
      <w:r w:rsidR="002876C7">
        <w:rPr>
          <w:rFonts w:ascii="Franklin Gothic Book" w:hAnsi="Franklin Gothic Book"/>
        </w:rPr>
        <w:t xml:space="preserve"> </w:t>
      </w:r>
      <w:r w:rsidRPr="00061688">
        <w:rPr>
          <w:rFonts w:ascii="Franklin Gothic Book" w:hAnsi="Franklin Gothic Book"/>
        </w:rPr>
        <w:t>MTM service</w:t>
      </w:r>
      <w:r w:rsidR="0E0CD42A" w:rsidRPr="0E0CD42A">
        <w:rPr>
          <w:rFonts w:ascii="Franklin Gothic Book" w:hAnsi="Franklin Gothic Book"/>
        </w:rPr>
        <w:t>s</w:t>
      </w:r>
      <w:r w:rsidRPr="00061688">
        <w:rPr>
          <w:rFonts w:ascii="Franklin Gothic Book" w:hAnsi="Franklin Gothic Book"/>
        </w:rPr>
        <w:t xml:space="preserve"> when the</w:t>
      </w:r>
      <w:r w:rsidR="0E0CD42A" w:rsidRPr="0E0CD42A">
        <w:rPr>
          <w:rFonts w:ascii="Franklin Gothic Book" w:hAnsi="Franklin Gothic Book"/>
        </w:rPr>
        <w:t xml:space="preserve"> services are a component of the treatment/care plan associated with the provision of medical nutrition therapy services via Medicare Part B Preventive Services. </w:t>
      </w:r>
      <w:r w:rsidRPr="00061688">
        <w:rPr>
          <w:rFonts w:ascii="Franklin Gothic Book" w:eastAsia="Aptos" w:hAnsi="Franklin Gothic Book" w:cs="Aptos"/>
        </w:rPr>
        <w:t>This approach would align with current CMS policy</w:t>
      </w:r>
      <w:r w:rsidRPr="00061688">
        <w:rPr>
          <w:rStyle w:val="EndnoteReference"/>
          <w:rFonts w:ascii="Franklin Gothic Book" w:eastAsia="Aptos" w:hAnsi="Franklin Gothic Book" w:cs="Aptos"/>
        </w:rPr>
        <w:endnoteReference w:id="31"/>
      </w:r>
      <w:r w:rsidRPr="00061688">
        <w:rPr>
          <w:rStyle w:val="EndnoteReference"/>
          <w:rFonts w:ascii="Franklin Gothic Book" w:eastAsia="Aptos" w:hAnsi="Franklin Gothic Book" w:cs="Aptos"/>
        </w:rPr>
        <w:t xml:space="preserve"> </w:t>
      </w:r>
      <w:r w:rsidRPr="00061688">
        <w:rPr>
          <w:rFonts w:ascii="Franklin Gothic Book" w:eastAsia="Aptos" w:hAnsi="Franklin Gothic Book" w:cs="Aptos"/>
        </w:rPr>
        <w:t>of allowing RDNs to</w:t>
      </w:r>
      <w:r w:rsidR="0E0CD42A" w:rsidRPr="0E0CD42A">
        <w:rPr>
          <w:rFonts w:ascii="Franklin Gothic Book" w:eastAsia="Aptos" w:hAnsi="Franklin Gothic Book" w:cs="Aptos"/>
        </w:rPr>
        <w:t xml:space="preserve"> submit claims for </w:t>
      </w:r>
      <w:r w:rsidRPr="00061688">
        <w:rPr>
          <w:rFonts w:ascii="Franklin Gothic Book" w:eastAsia="Aptos" w:hAnsi="Franklin Gothic Book" w:cs="Aptos"/>
        </w:rPr>
        <w:t>new caregiver training codes when an RDN or nutrition professional “</w:t>
      </w:r>
      <w:proofErr w:type="spellStart"/>
      <w:r w:rsidRPr="00061688">
        <w:rPr>
          <w:rFonts w:ascii="Franklin Gothic Book" w:eastAsia="Aptos" w:hAnsi="Franklin Gothic Book" w:cs="Aptos"/>
        </w:rPr>
        <w:t>identif</w:t>
      </w:r>
      <w:proofErr w:type="spellEnd"/>
      <w:r w:rsidRPr="00061688">
        <w:rPr>
          <w:rFonts w:ascii="Franklin Gothic Book" w:eastAsia="Aptos" w:hAnsi="Franklin Gothic Book" w:cs="Aptos"/>
        </w:rPr>
        <w:t>[</w:t>
      </w:r>
      <w:proofErr w:type="spellStart"/>
      <w:r w:rsidRPr="00061688">
        <w:rPr>
          <w:rFonts w:ascii="Franklin Gothic Book" w:eastAsia="Aptos" w:hAnsi="Franklin Gothic Book" w:cs="Aptos"/>
        </w:rPr>
        <w:t>ies</w:t>
      </w:r>
      <w:proofErr w:type="spellEnd"/>
      <w:r w:rsidRPr="00061688">
        <w:rPr>
          <w:rFonts w:ascii="Franklin Gothic Book" w:eastAsia="Aptos" w:hAnsi="Franklin Gothic Book" w:cs="Aptos"/>
        </w:rPr>
        <w:t>] a need to involve and train one or more caregivers to assist the patient in carrying out a patient-centered care plan for medical nutrition therapy (MNT) services.”</w:t>
      </w:r>
      <w:r w:rsidRPr="00061688">
        <w:rPr>
          <w:rStyle w:val="EndnoteReference"/>
          <w:rFonts w:ascii="Franklin Gothic Book" w:eastAsia="Aptos" w:hAnsi="Franklin Gothic Book" w:cs="Aptos"/>
        </w:rPr>
        <w:endnoteReference w:id="32"/>
      </w:r>
      <w:r w:rsidRPr="00061688">
        <w:rPr>
          <w:rStyle w:val="EndnoteReference"/>
          <w:rFonts w:ascii="Franklin Gothic Book" w:eastAsia="Aptos" w:hAnsi="Franklin Gothic Book" w:cs="Aptos"/>
        </w:rPr>
        <w:t xml:space="preserve"> </w:t>
      </w:r>
    </w:p>
    <w:p w14:paraId="7A7C9D41" w14:textId="203EE671" w:rsidR="00A86626" w:rsidRPr="00061688" w:rsidRDefault="07D68AEC" w:rsidP="0016095C">
      <w:pPr>
        <w:rPr>
          <w:rFonts w:ascii="Franklin Gothic Book" w:hAnsi="Franklin Gothic Book"/>
        </w:rPr>
      </w:pPr>
      <w:r w:rsidRPr="00061688">
        <w:rPr>
          <w:rFonts w:ascii="Franklin Gothic Book" w:hAnsi="Franklin Gothic Book"/>
          <w:b/>
          <w:bCs/>
        </w:rPr>
        <w:t>Community-Based Organization Referral and Health Care Integration</w:t>
      </w:r>
      <w:r w:rsidRPr="00061688">
        <w:rPr>
          <w:rFonts w:ascii="Franklin Gothic Book" w:hAnsi="Franklin Gothic Book"/>
        </w:rPr>
        <w:t> </w:t>
      </w:r>
    </w:p>
    <w:p w14:paraId="19A9AF11" w14:textId="77777777" w:rsidR="00A86626" w:rsidRPr="00061688" w:rsidRDefault="763A2FC4" w:rsidP="0016095C">
      <w:pPr>
        <w:pStyle w:val="ListParagraph"/>
        <w:numPr>
          <w:ilvl w:val="0"/>
          <w:numId w:val="73"/>
        </w:numPr>
        <w:ind w:left="360"/>
        <w:rPr>
          <w:rFonts w:ascii="Franklin Gothic Book" w:hAnsi="Franklin Gothic Book"/>
          <w:b/>
          <w:bCs/>
        </w:rPr>
      </w:pPr>
      <w:r w:rsidRPr="763A2FC4">
        <w:rPr>
          <w:rFonts w:ascii="Franklin Gothic Book" w:hAnsi="Franklin Gothic Book"/>
          <w:b/>
          <w:bCs/>
          <w:i/>
          <w:iCs/>
        </w:rPr>
        <w:t xml:space="preserve">Should CMS consider allowing billing providers to refer to community-based organizations to deliver and ensure quality of </w:t>
      </w:r>
      <w:proofErr w:type="gramStart"/>
      <w:r w:rsidRPr="763A2FC4">
        <w:rPr>
          <w:rFonts w:ascii="Franklin Gothic Book" w:hAnsi="Franklin Gothic Book"/>
          <w:b/>
          <w:bCs/>
          <w:i/>
          <w:iCs/>
        </w:rPr>
        <w:t>medically-tailored</w:t>
      </w:r>
      <w:proofErr w:type="gramEnd"/>
      <w:r w:rsidRPr="763A2FC4">
        <w:rPr>
          <w:rFonts w:ascii="Franklin Gothic Book" w:hAnsi="Franklin Gothic Book"/>
          <w:b/>
          <w:bCs/>
          <w:i/>
          <w:iCs/>
        </w:rPr>
        <w:t xml:space="preserve"> meals while under general supervision (please see § 410.26(a)(3) for further information about general supervision) of the referring billing provider?</w:t>
      </w:r>
      <w:r w:rsidRPr="763A2FC4">
        <w:rPr>
          <w:rFonts w:ascii="Franklin Gothic Book" w:hAnsi="Franklin Gothic Book"/>
          <w:b/>
          <w:bCs/>
        </w:rPr>
        <w:t> </w:t>
      </w:r>
    </w:p>
    <w:p w14:paraId="7678CA2C" w14:textId="06E33072" w:rsidR="07D68AEC" w:rsidRPr="00061688" w:rsidRDefault="21662357" w:rsidP="0016095C">
      <w:pPr>
        <w:rPr>
          <w:rFonts w:ascii="Franklin Gothic Book" w:hAnsi="Franklin Gothic Book"/>
        </w:rPr>
      </w:pPr>
      <w:r w:rsidRPr="21662357">
        <w:rPr>
          <w:rFonts w:ascii="Franklin Gothic Book" w:hAnsi="Franklin Gothic Book"/>
        </w:rPr>
        <w:t>Yes, CMS should allow billing providers to refer to community-based organizations to deliver and ensure</w:t>
      </w:r>
      <w:r w:rsidR="005F799E">
        <w:rPr>
          <w:rFonts w:ascii="Franklin Gothic Book" w:hAnsi="Franklin Gothic Book"/>
        </w:rPr>
        <w:t xml:space="preserve"> the</w:t>
      </w:r>
      <w:r w:rsidRPr="21662357">
        <w:rPr>
          <w:rFonts w:ascii="Franklin Gothic Book" w:hAnsi="Franklin Gothic Book"/>
        </w:rPr>
        <w:t xml:space="preserve"> quality of medically tailored meals while under general supervision of the billing provider. </w:t>
      </w:r>
    </w:p>
    <w:p w14:paraId="7BCDF43F" w14:textId="1595CA2A" w:rsidR="07D68AEC" w:rsidRPr="00061688" w:rsidRDefault="07D68AEC" w:rsidP="0016095C">
      <w:pPr>
        <w:pStyle w:val="ListParagraph"/>
        <w:numPr>
          <w:ilvl w:val="0"/>
          <w:numId w:val="10"/>
        </w:numPr>
        <w:rPr>
          <w:rFonts w:ascii="Franklin Gothic Book" w:hAnsi="Franklin Gothic Book"/>
          <w:b/>
          <w:bCs/>
        </w:rPr>
      </w:pPr>
      <w:r w:rsidRPr="00061688">
        <w:rPr>
          <w:rFonts w:ascii="Franklin Gothic Book" w:hAnsi="Franklin Gothic Book"/>
          <w:b/>
          <w:bCs/>
        </w:rPr>
        <w:t>This flexibility is consistent with CMS precedent</w:t>
      </w:r>
    </w:p>
    <w:p w14:paraId="19C5D675" w14:textId="566CB2E0" w:rsidR="07D68AEC" w:rsidRPr="000D3D52" w:rsidRDefault="07D68AEC" w:rsidP="0016095C">
      <w:pPr>
        <w:rPr>
          <w:rFonts w:ascii="Franklin Gothic Book" w:hAnsi="Franklin Gothic Book"/>
          <w:vertAlign w:val="superscript"/>
        </w:rPr>
      </w:pPr>
      <w:r w:rsidRPr="00061688">
        <w:rPr>
          <w:rFonts w:ascii="Franklin Gothic Book" w:hAnsi="Franklin Gothic Book"/>
        </w:rPr>
        <w:t>In the past, CMS has allowed for billing practitioners to arrange for certain incident-to services to be provided by auxiliary personnel who are external to, and under contract with, the practitioner or their practice, such as through community-based organizations (CBOs). In these cases, CMS has allowed for general supervision, in which the services are provided under the overall direction and control of the billing practitioner, but without the billing practitioner needing to be present for the performance of the service.</w:t>
      </w:r>
      <w:r w:rsidRPr="00061688">
        <w:rPr>
          <w:rStyle w:val="EndnoteReference"/>
          <w:rFonts w:ascii="Franklin Gothic Book" w:hAnsi="Franklin Gothic Book"/>
        </w:rPr>
        <w:endnoteReference w:id="33"/>
      </w:r>
      <w:r w:rsidRPr="00061688">
        <w:rPr>
          <w:rFonts w:ascii="Franklin Gothic Book" w:hAnsi="Franklin Gothic Book"/>
        </w:rPr>
        <w:t xml:space="preserve"> For example, CMS has recently authorized this practice in the provision of both Principal Illness Navigation and </w:t>
      </w:r>
      <w:r w:rsidRPr="00061688">
        <w:rPr>
          <w:rFonts w:ascii="Franklin Gothic Book" w:hAnsi="Franklin Gothic Book"/>
        </w:rPr>
        <w:lastRenderedPageBreak/>
        <w:t>Community Health Integration services.</w:t>
      </w:r>
      <w:r w:rsidRPr="5A081114">
        <w:rPr>
          <w:rStyle w:val="EndnoteReference"/>
          <w:rFonts w:ascii="Franklin Gothic Book" w:hAnsi="Franklin Gothic Book"/>
        </w:rPr>
        <w:endnoteReference w:id="34"/>
      </w:r>
      <w:r w:rsidRPr="00061688">
        <w:rPr>
          <w:rFonts w:ascii="Franklin Gothic Book" w:hAnsi="Franklin Gothic Book"/>
        </w:rPr>
        <w:t xml:space="preserve"> In these cases, CMS has allowed such arrangements, provided that all of the “incident to” and other requirements and conditions for payment of the services are met and that there is “sufficient clinical integration” between the CBO and the billing practitioner.</w:t>
      </w:r>
      <w:r w:rsidRPr="5A081114">
        <w:rPr>
          <w:rStyle w:val="EndnoteReference"/>
          <w:rFonts w:ascii="Franklin Gothic Book" w:hAnsi="Franklin Gothic Book"/>
        </w:rPr>
        <w:endnoteReference w:id="35"/>
      </w:r>
      <w:r w:rsidRPr="00061688">
        <w:rPr>
          <w:rFonts w:ascii="Franklin Gothic Book" w:hAnsi="Franklin Gothic Book"/>
        </w:rPr>
        <w:t xml:space="preserve"> In particular, to establish “clinical integration,” CMS has noted its expectations that personnel performing the services would communicate regularly with the billing practitioner (to ensure the billing practitioner can appropriately </w:t>
      </w:r>
      <w:r w:rsidRPr="00627A24">
        <w:rPr>
          <w:rFonts w:ascii="Franklin Gothic Book" w:hAnsi="Franklin Gothic Book"/>
        </w:rPr>
        <w:t>document the services in the medical record) and continue to involve the billing practitioner in evaluating the continuing need for the service.</w:t>
      </w:r>
      <w:r w:rsidRPr="5A081114">
        <w:rPr>
          <w:rStyle w:val="EndnoteReference"/>
          <w:rFonts w:ascii="Franklin Gothic Book" w:hAnsi="Franklin Gothic Book"/>
        </w:rPr>
        <w:endnoteReference w:id="36"/>
      </w:r>
    </w:p>
    <w:p w14:paraId="2CE7030E" w14:textId="55FCC341" w:rsidR="07D68AEC" w:rsidRPr="00627A24" w:rsidRDefault="07D68AEC" w:rsidP="0016095C">
      <w:pPr>
        <w:pStyle w:val="ListParagraph"/>
        <w:numPr>
          <w:ilvl w:val="0"/>
          <w:numId w:val="10"/>
        </w:numPr>
        <w:rPr>
          <w:rFonts w:ascii="Franklin Gothic Book" w:hAnsi="Franklin Gothic Book"/>
          <w:b/>
          <w:bCs/>
        </w:rPr>
      </w:pPr>
      <w:r w:rsidRPr="00627A24">
        <w:rPr>
          <w:rFonts w:ascii="Franklin Gothic Book" w:hAnsi="Franklin Gothic Book"/>
          <w:b/>
          <w:bCs/>
        </w:rPr>
        <w:t xml:space="preserve">CBO providers of MTMs regularly contract with health care providers to serve their patients.  </w:t>
      </w:r>
    </w:p>
    <w:p w14:paraId="1B635FF4" w14:textId="37D547C2" w:rsidR="07D68AEC" w:rsidRPr="00061688" w:rsidRDefault="0004254E" w:rsidP="0016095C">
      <w:pPr>
        <w:rPr>
          <w:rFonts w:ascii="Franklin Gothic Book" w:hAnsi="Franklin Gothic Book"/>
        </w:rPr>
      </w:pPr>
      <w:r>
        <w:rPr>
          <w:rFonts w:ascii="Franklin Gothic Book" w:hAnsi="Franklin Gothic Book"/>
        </w:rPr>
        <w:t>CBOs in the Food Is Medicine Coalition (FIMC), the national provider coalition for CBOs delivering MTM and MTG,</w:t>
      </w:r>
      <w:r w:rsidR="21662357" w:rsidRPr="21662357">
        <w:rPr>
          <w:rFonts w:ascii="Franklin Gothic Book" w:hAnsi="Franklin Gothic Book"/>
        </w:rPr>
        <w:t xml:space="preserve"> created </w:t>
      </w:r>
      <w:r w:rsidR="07D68AEC" w:rsidRPr="21662357">
        <w:rPr>
          <w:rFonts w:ascii="Franklin Gothic Book" w:hAnsi="Franklin Gothic Book"/>
        </w:rPr>
        <w:t>the medically tailored meal intervention</w:t>
      </w:r>
      <w:r w:rsidR="21662357" w:rsidRPr="21662357">
        <w:rPr>
          <w:rFonts w:ascii="Franklin Gothic Book" w:hAnsi="Franklin Gothic Book"/>
        </w:rPr>
        <w:t xml:space="preserve"> </w:t>
      </w:r>
      <w:r w:rsidR="00EB7173">
        <w:rPr>
          <w:rFonts w:ascii="Franklin Gothic Book" w:hAnsi="Franklin Gothic Book"/>
        </w:rPr>
        <w:t xml:space="preserve">four decades </w:t>
      </w:r>
      <w:r w:rsidR="21662357" w:rsidRPr="21662357">
        <w:rPr>
          <w:rFonts w:ascii="Franklin Gothic Book" w:hAnsi="Franklin Gothic Book"/>
        </w:rPr>
        <w:t xml:space="preserve">ago and have a long history of </w:t>
      </w:r>
      <w:r w:rsidR="07D68AEC" w:rsidRPr="21662357">
        <w:rPr>
          <w:rFonts w:ascii="Franklin Gothic Book" w:hAnsi="Franklin Gothic Book"/>
        </w:rPr>
        <w:t>delivering a high-quality MTM intervention, integrated into</w:t>
      </w:r>
      <w:r w:rsidR="21662357" w:rsidRPr="21662357">
        <w:rPr>
          <w:rFonts w:ascii="Franklin Gothic Book" w:hAnsi="Franklin Gothic Book"/>
        </w:rPr>
        <w:t xml:space="preserve"> treatment and care via connection with health care providers. </w:t>
      </w:r>
      <w:r w:rsidRPr="00A10518">
        <w:rPr>
          <w:rFonts w:ascii="Franklin Gothic Book" w:hAnsi="Franklin Gothic Book"/>
          <w:highlight w:val="yellow"/>
        </w:rPr>
        <w:t>Please insert your organization’s experience here.</w:t>
      </w:r>
    </w:p>
    <w:p w14:paraId="4F141193" w14:textId="60651E5B" w:rsidR="07D68AEC" w:rsidRPr="00061688" w:rsidRDefault="0E0CD42A" w:rsidP="0016095C">
      <w:pPr>
        <w:rPr>
          <w:rFonts w:ascii="Franklin Gothic Book" w:hAnsi="Franklin Gothic Book"/>
        </w:rPr>
      </w:pPr>
      <w:r w:rsidRPr="0E0CD42A">
        <w:rPr>
          <w:rFonts w:ascii="Franklin Gothic Book" w:hAnsi="Franklin Gothic Book"/>
        </w:rPr>
        <w:t xml:space="preserve">Because of </w:t>
      </w:r>
      <w:r w:rsidR="0004254E">
        <w:rPr>
          <w:rFonts w:ascii="Franklin Gothic Book" w:hAnsi="Franklin Gothic Book"/>
        </w:rPr>
        <w:t>the</w:t>
      </w:r>
      <w:r w:rsidR="0004254E" w:rsidRPr="0E0CD42A">
        <w:rPr>
          <w:rFonts w:ascii="Franklin Gothic Book" w:hAnsi="Franklin Gothic Book"/>
        </w:rPr>
        <w:t xml:space="preserve"> </w:t>
      </w:r>
      <w:r w:rsidRPr="0E0CD42A">
        <w:rPr>
          <w:rFonts w:ascii="Franklin Gothic Book" w:hAnsi="Franklin Gothic Book"/>
        </w:rPr>
        <w:t xml:space="preserve">initial focus on people living with HIV and through the evolution of agency missions to serve people living with additional illnesses over the past four decades, community-based organizations (CBOs) have prioritized the strict protection of patient confidentiality and compliance with HIPAA privacy rules where indicated. Recognizing the severe, chronic, and often complex health conditions our clients face, our agencies have developed and maintained secure, sophisticated systems for clinical integration and data sharing, enabling seamless, referral and coordination with medical providers across care settings, regardless of whether health care is the payer for services. Specific requirements for FIMC-accredited providers on these topics can be found in Section 8 of the </w:t>
      </w:r>
      <w:hyperlink r:id="rId20" w:history="1">
        <w:r w:rsidRPr="002876C7">
          <w:rPr>
            <w:rStyle w:val="Hyperlink"/>
            <w:rFonts w:ascii="Franklin Gothic Book" w:hAnsi="Franklin Gothic Book"/>
          </w:rPr>
          <w:t>FIMC MTM ACR</w:t>
        </w:r>
      </w:hyperlink>
      <w:r w:rsidRPr="0E0CD42A">
        <w:rPr>
          <w:rFonts w:ascii="Franklin Gothic Book" w:hAnsi="Franklin Gothic Book"/>
        </w:rPr>
        <w:t xml:space="preserve">. </w:t>
      </w:r>
    </w:p>
    <w:p w14:paraId="5E28D3BA" w14:textId="1C649059" w:rsidR="07D68AEC" w:rsidRPr="00061688" w:rsidRDefault="0004254E" w:rsidP="0016095C">
      <w:pPr>
        <w:rPr>
          <w:rFonts w:ascii="Franklin Gothic Book" w:hAnsi="Franklin Gothic Book"/>
        </w:rPr>
      </w:pPr>
      <w:r>
        <w:rPr>
          <w:rFonts w:ascii="Franklin Gothic Book" w:hAnsi="Franklin Gothic Book"/>
        </w:rPr>
        <w:t>Non</w:t>
      </w:r>
      <w:r w:rsidR="00B7087B" w:rsidRPr="00061688">
        <w:rPr>
          <w:rFonts w:ascii="Franklin Gothic Book" w:hAnsi="Franklin Gothic Book"/>
        </w:rPr>
        <w:t>-profit</w:t>
      </w:r>
      <w:r w:rsidR="07D68AEC" w:rsidRPr="00061688">
        <w:rPr>
          <w:rFonts w:ascii="Franklin Gothic Book" w:hAnsi="Franklin Gothic Book"/>
        </w:rPr>
        <w:t xml:space="preserve"> CBOs conduct extensive outreach to local health care professionals, hospital networks, community health centers and other social service providers to educate them on the nutrition services available within our network. This outreach fosters well-established referral relationships and enables providers to confidently identify individuals that need MTM or medically tailored groceries </w:t>
      </w:r>
      <w:r w:rsidR="00B7087B">
        <w:rPr>
          <w:rFonts w:ascii="Franklin Gothic Book" w:hAnsi="Franklin Gothic Book"/>
        </w:rPr>
        <w:t xml:space="preserve">(MTGs) </w:t>
      </w:r>
      <w:r w:rsidR="07D68AEC" w:rsidRPr="00061688">
        <w:rPr>
          <w:rFonts w:ascii="Franklin Gothic Book" w:hAnsi="Franklin Gothic Book"/>
        </w:rPr>
        <w:t>and direct patients to services that align with their care plans. Agenc</w:t>
      </w:r>
      <w:r w:rsidR="00B7087B">
        <w:rPr>
          <w:rFonts w:ascii="Franklin Gothic Book" w:hAnsi="Franklin Gothic Book"/>
        </w:rPr>
        <w:t>ie</w:t>
      </w:r>
      <w:r w:rsidR="07D68AEC" w:rsidRPr="00061688">
        <w:rPr>
          <w:rFonts w:ascii="Franklin Gothic Book" w:hAnsi="Franklin Gothic Book"/>
        </w:rPr>
        <w:t>s</w:t>
      </w:r>
      <w:r w:rsidR="00B7087B">
        <w:rPr>
          <w:rFonts w:ascii="Franklin Gothic Book" w:hAnsi="Franklin Gothic Book"/>
        </w:rPr>
        <w:t>’</w:t>
      </w:r>
      <w:r w:rsidR="07D68AEC" w:rsidRPr="00061688">
        <w:rPr>
          <w:rFonts w:ascii="Franklin Gothic Book" w:hAnsi="Franklin Gothic Book"/>
        </w:rPr>
        <w:t xml:space="preserve"> systems support both outbound and inbound referrals, ensuring services are delivered in close alignment with a patient’s clinical needs, while protecting sensitive health information at all stages of the process.</w:t>
      </w:r>
    </w:p>
    <w:p w14:paraId="20D14D31" w14:textId="0CA46970" w:rsidR="07D68AEC" w:rsidRPr="00061688" w:rsidRDefault="0004254E" w:rsidP="0016095C">
      <w:pPr>
        <w:rPr>
          <w:rFonts w:ascii="Franklin Gothic Book" w:hAnsi="Franklin Gothic Book"/>
        </w:rPr>
      </w:pPr>
      <w:proofErr w:type="gramStart"/>
      <w:r>
        <w:rPr>
          <w:rFonts w:ascii="Franklin Gothic Book" w:hAnsi="Franklin Gothic Book"/>
        </w:rPr>
        <w:t>The MTM</w:t>
      </w:r>
      <w:proofErr w:type="gramEnd"/>
      <w:r>
        <w:rPr>
          <w:rFonts w:ascii="Franklin Gothic Book" w:hAnsi="Franklin Gothic Book"/>
        </w:rPr>
        <w:t xml:space="preserve"> intervention</w:t>
      </w:r>
      <w:r w:rsidR="0E0CD42A" w:rsidRPr="0E0CD42A">
        <w:rPr>
          <w:rFonts w:ascii="Franklin Gothic Book" w:hAnsi="Franklin Gothic Book"/>
        </w:rPr>
        <w:t xml:space="preserve"> also depend</w:t>
      </w:r>
      <w:r>
        <w:rPr>
          <w:rFonts w:ascii="Franklin Gothic Book" w:hAnsi="Franklin Gothic Book"/>
        </w:rPr>
        <w:t>s</w:t>
      </w:r>
      <w:r w:rsidR="0E0CD42A" w:rsidRPr="0E0CD42A">
        <w:rPr>
          <w:rFonts w:ascii="Franklin Gothic Book" w:hAnsi="Franklin Gothic Book"/>
        </w:rPr>
        <w:t xml:space="preserve"> on the clinical discretion of medical professionals to guide service eligibility, ensuring that referrals and interventions reflect the real-time assessment of a patient’s health status. This trust in provider judgment reinforces the integrity of </w:t>
      </w:r>
      <w:r>
        <w:rPr>
          <w:rFonts w:ascii="Franklin Gothic Book" w:hAnsi="Franklin Gothic Book"/>
        </w:rPr>
        <w:t>the</w:t>
      </w:r>
      <w:r w:rsidRPr="0E0CD42A">
        <w:rPr>
          <w:rFonts w:ascii="Franklin Gothic Book" w:hAnsi="Franklin Gothic Book"/>
        </w:rPr>
        <w:t xml:space="preserve"> </w:t>
      </w:r>
      <w:r w:rsidR="0E0CD42A" w:rsidRPr="0E0CD42A">
        <w:rPr>
          <w:rFonts w:ascii="Franklin Gothic Book" w:hAnsi="Franklin Gothic Book"/>
        </w:rPr>
        <w:t>model and protects patients from unnecessary or misaligned services.</w:t>
      </w:r>
    </w:p>
    <w:p w14:paraId="7BC15188" w14:textId="2A39C8EF" w:rsidR="07D68AEC" w:rsidRPr="00061688" w:rsidRDefault="125C6173" w:rsidP="0016095C">
      <w:pPr>
        <w:rPr>
          <w:rFonts w:ascii="Franklin Gothic Book" w:hAnsi="Franklin Gothic Book"/>
        </w:rPr>
      </w:pPr>
      <w:r w:rsidRPr="125C6173">
        <w:rPr>
          <w:rFonts w:ascii="Franklin Gothic Book" w:hAnsi="Franklin Gothic Book"/>
        </w:rPr>
        <w:t xml:space="preserve">FIMC has developed the only recognized standard for the medically tailored meal intervention at the heart of this request for information: the </w:t>
      </w:r>
      <w:hyperlink r:id="rId21">
        <w:r w:rsidRPr="125C6173">
          <w:rPr>
            <w:rStyle w:val="Hyperlink"/>
            <w:rFonts w:ascii="Franklin Gothic Book" w:hAnsi="Franklin Gothic Book"/>
          </w:rPr>
          <w:t>FIMC MTM Intervention Accreditation Criteria and Requirements,</w:t>
        </w:r>
      </w:hyperlink>
      <w:r w:rsidRPr="125C6173">
        <w:rPr>
          <w:rFonts w:ascii="Franklin Gothic Book" w:hAnsi="Franklin Gothic Book"/>
        </w:rPr>
        <w:t xml:space="preserve"> or FIMC MTM ACR. FIMC agencies are known for the impressive outcomes our nutrition programs produce. We know that these results are </w:t>
      </w:r>
      <w:r w:rsidRPr="125C6173">
        <w:rPr>
          <w:rFonts w:ascii="Franklin Gothic Book" w:hAnsi="Franklin Gothic Book"/>
        </w:rPr>
        <w:lastRenderedPageBreak/>
        <w:t>only possible with nutritious food, community connection and a client-centered approach – all of which the FIMC MTM ACR codifies and offers to the field as a guidebook for meeting community needs. The ACR synthesizes decades of service provision into a standard for the field that ensures fidelity to the MTM intervention for nonprofits, regardless of location, size or number of clients. While the standard is rigorous, it is also flexible enough to encourage culturally relevant services that meet the nutrition needs of diverse populations. Importantly, FIMC has released this standard publicly and the nutritional guidelines incorporated in it have already made their way into policy guidance for these services in Medicaid in several states</w:t>
      </w:r>
      <w:r w:rsidRPr="125C6173">
        <w:rPr>
          <w:rFonts w:ascii="Franklin Gothic Book" w:eastAsiaTheme="minorEastAsia" w:hAnsi="Franklin Gothic Book"/>
        </w:rPr>
        <w:t xml:space="preserve"> (</w:t>
      </w:r>
      <w:hyperlink r:id="rId22">
        <w:r w:rsidRPr="125C6173">
          <w:rPr>
            <w:rStyle w:val="Hyperlink"/>
            <w:rFonts w:ascii="Franklin Gothic Book" w:eastAsiaTheme="minorEastAsia" w:hAnsi="Franklin Gothic Book"/>
          </w:rPr>
          <w:t>NC</w:t>
        </w:r>
      </w:hyperlink>
      <w:r w:rsidRPr="125C6173">
        <w:rPr>
          <w:rFonts w:ascii="Franklin Gothic Book" w:eastAsiaTheme="minorEastAsia" w:hAnsi="Franklin Gothic Book"/>
        </w:rPr>
        <w:t xml:space="preserve">, </w:t>
      </w:r>
      <w:hyperlink r:id="rId23">
        <w:r w:rsidRPr="125C6173">
          <w:rPr>
            <w:rStyle w:val="Hyperlink"/>
            <w:rFonts w:ascii="Franklin Gothic Book" w:eastAsiaTheme="minorEastAsia" w:hAnsi="Franklin Gothic Book"/>
          </w:rPr>
          <w:t>NY</w:t>
        </w:r>
      </w:hyperlink>
      <w:r w:rsidRPr="125C6173">
        <w:rPr>
          <w:rFonts w:ascii="Franklin Gothic Book" w:eastAsiaTheme="minorEastAsia" w:hAnsi="Franklin Gothic Book"/>
        </w:rPr>
        <w:t xml:space="preserve">, </w:t>
      </w:r>
      <w:hyperlink r:id="rId24">
        <w:r w:rsidRPr="125C6173">
          <w:rPr>
            <w:rStyle w:val="Hyperlink"/>
            <w:rFonts w:ascii="Franklin Gothic Book" w:eastAsiaTheme="minorEastAsia" w:hAnsi="Franklin Gothic Book"/>
          </w:rPr>
          <w:t>MI</w:t>
        </w:r>
      </w:hyperlink>
      <w:r w:rsidRPr="125C6173">
        <w:rPr>
          <w:rFonts w:ascii="Franklin Gothic Book" w:eastAsiaTheme="minorEastAsia" w:hAnsi="Franklin Gothic Book"/>
        </w:rPr>
        <w:t>).</w:t>
      </w:r>
      <w:r w:rsidRPr="125C6173">
        <w:rPr>
          <w:rFonts w:ascii="Franklin Gothic Book" w:hAnsi="Franklin Gothic Book"/>
        </w:rPr>
        <w:t xml:space="preserve"> </w:t>
      </w:r>
    </w:p>
    <w:p w14:paraId="1C090AE0" w14:textId="74F5B6BE" w:rsidR="00136965" w:rsidRDefault="07D68AEC" w:rsidP="0016095C">
      <w:pPr>
        <w:rPr>
          <w:rFonts w:ascii="Franklin Gothic Book" w:hAnsi="Franklin Gothic Book"/>
        </w:rPr>
      </w:pPr>
      <w:r w:rsidRPr="00061688">
        <w:rPr>
          <w:rFonts w:ascii="Franklin Gothic Book" w:hAnsi="Franklin Gothic Book"/>
        </w:rPr>
        <w:t xml:space="preserve">Based upon this </w:t>
      </w:r>
      <w:r w:rsidR="0004254E">
        <w:rPr>
          <w:rFonts w:ascii="Franklin Gothic Book" w:hAnsi="Franklin Gothic Book"/>
        </w:rPr>
        <w:t>history</w:t>
      </w:r>
      <w:r w:rsidRPr="00061688">
        <w:rPr>
          <w:rFonts w:ascii="Franklin Gothic Book" w:hAnsi="Franklin Gothic Book"/>
        </w:rPr>
        <w:t>—and its alignment with frameworks that CMS has used for other recently established services—we believe it is reasonable for CMS to allow billing practitioners to refer to community-based organizations to deliver and ensure quality of medically tailored meals while under general supervision of the billing practitioner.</w:t>
      </w:r>
    </w:p>
    <w:p w14:paraId="7E558D73" w14:textId="77777777" w:rsidR="00136965" w:rsidRPr="00061688" w:rsidRDefault="00136965" w:rsidP="0016095C">
      <w:pPr>
        <w:rPr>
          <w:rFonts w:ascii="Franklin Gothic Book" w:hAnsi="Franklin Gothic Book"/>
        </w:rPr>
      </w:pPr>
    </w:p>
    <w:p w14:paraId="2D7060F7" w14:textId="2C26C770" w:rsidR="000A3C7B" w:rsidRPr="000D3D52" w:rsidRDefault="07D68AEC" w:rsidP="000D3D52">
      <w:pPr>
        <w:pStyle w:val="ListParagraph"/>
        <w:numPr>
          <w:ilvl w:val="0"/>
          <w:numId w:val="10"/>
        </w:numPr>
        <w:rPr>
          <w:rFonts w:ascii="Franklin Gothic Book" w:hAnsi="Franklin Gothic Book"/>
          <w:b/>
          <w:bCs/>
        </w:rPr>
      </w:pPr>
      <w:r w:rsidRPr="000D3D52">
        <w:rPr>
          <w:rFonts w:ascii="Franklin Gothic Book" w:hAnsi="Franklin Gothic Book"/>
          <w:b/>
          <w:bCs/>
        </w:rPr>
        <w:t xml:space="preserve">This approach should be available in tandem with the suggestions under </w:t>
      </w:r>
      <w:proofErr w:type="gramStart"/>
      <w:r w:rsidRPr="000D3D52">
        <w:rPr>
          <w:rFonts w:ascii="Franklin Gothic Book" w:hAnsi="Franklin Gothic Book"/>
          <w:b/>
          <w:bCs/>
        </w:rPr>
        <w:t>3.,</w:t>
      </w:r>
      <w:proofErr w:type="gramEnd"/>
      <w:r w:rsidRPr="000D3D52">
        <w:rPr>
          <w:rFonts w:ascii="Franklin Gothic Book" w:hAnsi="Franklin Gothic Book"/>
          <w:b/>
          <w:bCs/>
        </w:rPr>
        <w:t xml:space="preserve"> above. </w:t>
      </w:r>
    </w:p>
    <w:p w14:paraId="14597C8C" w14:textId="0190BE4F" w:rsidR="000A3C7B" w:rsidRPr="00061688" w:rsidRDefault="07D68AEC" w:rsidP="0016095C">
      <w:pPr>
        <w:rPr>
          <w:rFonts w:ascii="Franklin Gothic Book" w:hAnsi="Franklin Gothic Book"/>
        </w:rPr>
      </w:pPr>
      <w:r w:rsidRPr="00061688">
        <w:rPr>
          <w:rFonts w:ascii="Franklin Gothic Book" w:hAnsi="Franklin Gothic Book"/>
        </w:rPr>
        <w:t>Singular reliance on an incident-to approach may limit uptake of the MTM service. In other contexts, such as intensive behavioral therapy for obesity</w:t>
      </w:r>
      <w:r w:rsidR="00E006B3" w:rsidRPr="00061688">
        <w:rPr>
          <w:rFonts w:ascii="Franklin Gothic Book" w:hAnsi="Franklin Gothic Book"/>
        </w:rPr>
        <w:t xml:space="preserve"> </w:t>
      </w:r>
      <w:r w:rsidRPr="00061688">
        <w:rPr>
          <w:rFonts w:ascii="Franklin Gothic Book" w:hAnsi="Franklin Gothic Book"/>
        </w:rPr>
        <w:t xml:space="preserve">(IBT), for example, referral rates for incident-to services have been notably low, with only 0.1% of eligible Medicare </w:t>
      </w:r>
      <w:proofErr w:type="gramStart"/>
      <w:r w:rsidRPr="00061688">
        <w:rPr>
          <w:rFonts w:ascii="Franklin Gothic Book" w:hAnsi="Franklin Gothic Book"/>
        </w:rPr>
        <w:t>enrollees</w:t>
      </w:r>
      <w:proofErr w:type="gramEnd"/>
      <w:r w:rsidRPr="00061688">
        <w:rPr>
          <w:rFonts w:ascii="Franklin Gothic Book" w:hAnsi="Franklin Gothic Book"/>
        </w:rPr>
        <w:t xml:space="preserve"> receiving the service in 2012 and 0.2% in 2015.</w:t>
      </w:r>
      <w:r w:rsidR="00F56256" w:rsidRPr="00061688">
        <w:rPr>
          <w:rStyle w:val="EndnoteReference"/>
          <w:rFonts w:ascii="Franklin Gothic Book" w:hAnsi="Franklin Gothic Book"/>
        </w:rPr>
        <w:endnoteReference w:id="37"/>
      </w:r>
      <w:r w:rsidRPr="00061688">
        <w:rPr>
          <w:rFonts w:ascii="Franklin Gothic Book" w:hAnsi="Franklin Gothic Book"/>
        </w:rPr>
        <w:t xml:space="preserve"> </w:t>
      </w:r>
    </w:p>
    <w:p w14:paraId="2E9CB2DC" w14:textId="6BEDACA1" w:rsidR="000A3C7B" w:rsidRPr="00061688" w:rsidRDefault="763A2FC4" w:rsidP="0016095C">
      <w:pPr>
        <w:rPr>
          <w:rFonts w:ascii="Franklin Gothic Book" w:hAnsi="Franklin Gothic Book"/>
        </w:rPr>
      </w:pPr>
      <w:r w:rsidRPr="763A2FC4">
        <w:rPr>
          <w:rFonts w:ascii="Franklin Gothic Book" w:hAnsi="Franklin Gothic Book"/>
        </w:rPr>
        <w:t xml:space="preserve">Uptake may be improved, in part, by CMS’s proposal to allow general, rather than direct, supervision. However, given this history, we urge CMS to also consider whether there are opportunities to build upon this incident-to approach by opening avenues to direct billing for MTM services, such as through the RDNs on staff at MTM organizations, as discussed above. </w:t>
      </w:r>
    </w:p>
    <w:p w14:paraId="4AF8504C" w14:textId="5B3B528A" w:rsidR="000A3C7B" w:rsidRPr="00061688" w:rsidRDefault="0E0CD42A" w:rsidP="0016095C">
      <w:pPr>
        <w:rPr>
          <w:rFonts w:ascii="Franklin Gothic Book" w:hAnsi="Franklin Gothic Book"/>
        </w:rPr>
      </w:pPr>
      <w:r w:rsidRPr="0E0CD42A">
        <w:rPr>
          <w:rFonts w:ascii="Franklin Gothic Book" w:hAnsi="Franklin Gothic Book"/>
        </w:rPr>
        <w:t xml:space="preserve">The establishment of incident-to coverage which allows for billing providers to refer to community-based organizations for service delivery under general supervision is a significant and critical first step towards addressing the current MTM access gaps in the Medicare landscape. We therefore applaud this proposal and urge CMS to move forward by formally including proposed codes for such </w:t>
      </w:r>
      <w:proofErr w:type="gramStart"/>
      <w:r w:rsidRPr="0E0CD42A">
        <w:rPr>
          <w:rFonts w:ascii="Franklin Gothic Book" w:hAnsi="Franklin Gothic Book"/>
        </w:rPr>
        <w:t>incident-to</w:t>
      </w:r>
      <w:proofErr w:type="gramEnd"/>
      <w:r w:rsidRPr="0E0CD42A">
        <w:rPr>
          <w:rFonts w:ascii="Franklin Gothic Book" w:hAnsi="Franklin Gothic Book"/>
        </w:rPr>
        <w:t xml:space="preserve"> services and related requirements in </w:t>
      </w:r>
      <w:proofErr w:type="gramStart"/>
      <w:r w:rsidRPr="0E0CD42A">
        <w:rPr>
          <w:rFonts w:ascii="Franklin Gothic Book" w:hAnsi="Franklin Gothic Book"/>
        </w:rPr>
        <w:t>a future</w:t>
      </w:r>
      <w:proofErr w:type="gramEnd"/>
      <w:r w:rsidRPr="0E0CD42A">
        <w:rPr>
          <w:rFonts w:ascii="Franklin Gothic Book" w:hAnsi="Franklin Gothic Book"/>
        </w:rPr>
        <w:t xml:space="preserve"> notice of proposed rulemaking. Where possible, though, we encourage CMS to also go a step further by establishing avenues for RDN direct billing to deepen impact and ease of implementation for this important change.</w:t>
      </w:r>
    </w:p>
    <w:p w14:paraId="56C42A56" w14:textId="6770212F" w:rsidR="71AABB52" w:rsidRPr="00061688" w:rsidRDefault="71AABB52" w:rsidP="0016095C">
      <w:pPr>
        <w:rPr>
          <w:rFonts w:ascii="Franklin Gothic Book" w:hAnsi="Franklin Gothic Book"/>
        </w:rPr>
      </w:pPr>
    </w:p>
    <w:p w14:paraId="02AF487F" w14:textId="77777777" w:rsidR="00A86626" w:rsidRPr="00061688" w:rsidRDefault="00A86626" w:rsidP="0016095C">
      <w:pPr>
        <w:rPr>
          <w:rFonts w:ascii="Franklin Gothic Book" w:hAnsi="Franklin Gothic Book"/>
        </w:rPr>
      </w:pPr>
      <w:r w:rsidRPr="00061688">
        <w:rPr>
          <w:rFonts w:ascii="Franklin Gothic Book" w:hAnsi="Franklin Gothic Book"/>
          <w:b/>
          <w:bCs/>
        </w:rPr>
        <w:t>Maintaining MTM Service Integrity</w:t>
      </w:r>
      <w:r w:rsidRPr="00061688">
        <w:rPr>
          <w:rFonts w:ascii="Franklin Gothic Book" w:hAnsi="Franklin Gothic Book"/>
        </w:rPr>
        <w:t> </w:t>
      </w:r>
    </w:p>
    <w:p w14:paraId="197CF2C0" w14:textId="77777777" w:rsidR="00A86626" w:rsidRPr="00061688" w:rsidRDefault="07D68AEC" w:rsidP="0016095C">
      <w:pPr>
        <w:pStyle w:val="ListParagraph"/>
        <w:numPr>
          <w:ilvl w:val="0"/>
          <w:numId w:val="73"/>
        </w:numPr>
        <w:ind w:left="360"/>
        <w:rPr>
          <w:rFonts w:ascii="Franklin Gothic Book" w:hAnsi="Franklin Gothic Book"/>
          <w:b/>
          <w:bCs/>
        </w:rPr>
      </w:pPr>
      <w:r w:rsidRPr="00061688">
        <w:rPr>
          <w:rFonts w:ascii="Franklin Gothic Book" w:hAnsi="Franklin Gothic Book"/>
          <w:b/>
          <w:bCs/>
          <w:i/>
          <w:iCs/>
        </w:rPr>
        <w:t>If CMS were to create separate coding and payment for medically tailored meals, how should CMS ensure integrity of the service being delivered?”</w:t>
      </w:r>
      <w:r w:rsidRPr="00061688">
        <w:rPr>
          <w:rFonts w:ascii="Franklin Gothic Book" w:hAnsi="Franklin Gothic Book"/>
          <w:b/>
          <w:bCs/>
        </w:rPr>
        <w:t> </w:t>
      </w:r>
    </w:p>
    <w:p w14:paraId="58473D15" w14:textId="63430D26" w:rsidR="07D68AEC" w:rsidRPr="00061688" w:rsidRDefault="07D68AEC" w:rsidP="0016095C">
      <w:pPr>
        <w:rPr>
          <w:rFonts w:ascii="Franklin Gothic Book" w:eastAsia="Aptos" w:hAnsi="Franklin Gothic Book" w:cs="Aptos"/>
        </w:rPr>
      </w:pPr>
      <w:r w:rsidRPr="00061688">
        <w:rPr>
          <w:rFonts w:ascii="Franklin Gothic Book" w:eastAsia="Aptos" w:hAnsi="Franklin Gothic Book" w:cs="Aptos"/>
        </w:rPr>
        <w:t xml:space="preserve">We believe that standard CMS safeguards will ensure the integrity of MTM services. First, as with other </w:t>
      </w:r>
      <w:proofErr w:type="gramStart"/>
      <w:r w:rsidRPr="00061688">
        <w:rPr>
          <w:rFonts w:ascii="Franklin Gothic Book" w:eastAsia="Aptos" w:hAnsi="Franklin Gothic Book" w:cs="Aptos"/>
        </w:rPr>
        <w:t>incident</w:t>
      </w:r>
      <w:r w:rsidR="00CC5A8C">
        <w:rPr>
          <w:rFonts w:ascii="Franklin Gothic Book" w:eastAsia="Aptos" w:hAnsi="Franklin Gothic Book" w:cs="Aptos"/>
        </w:rPr>
        <w:t>-</w:t>
      </w:r>
      <w:r w:rsidRPr="00061688">
        <w:rPr>
          <w:rFonts w:ascii="Franklin Gothic Book" w:eastAsia="Aptos" w:hAnsi="Franklin Gothic Book" w:cs="Aptos"/>
        </w:rPr>
        <w:t>to</w:t>
      </w:r>
      <w:proofErr w:type="gramEnd"/>
      <w:r w:rsidRPr="00061688">
        <w:rPr>
          <w:rFonts w:ascii="Franklin Gothic Book" w:eastAsia="Aptos" w:hAnsi="Franklin Gothic Book" w:cs="Aptos"/>
        </w:rPr>
        <w:t xml:space="preserve"> services, billing providers should be required to have either an employment arrangement or a contract in place with auxiliary providers.  As part of any contracting process, billing providers should credential the CBO to ensure it is qualified to </w:t>
      </w:r>
      <w:r w:rsidRPr="00061688">
        <w:rPr>
          <w:rFonts w:ascii="Franklin Gothic Book" w:eastAsia="Aptos" w:hAnsi="Franklin Gothic Book" w:cs="Aptos"/>
        </w:rPr>
        <w:lastRenderedPageBreak/>
        <w:t xml:space="preserve">provide MTM services. As explained elsewhere in this comment letter, the </w:t>
      </w:r>
      <w:r w:rsidR="00CC5A8C">
        <w:rPr>
          <w:rFonts w:ascii="Franklin Gothic Book" w:eastAsia="Aptos" w:hAnsi="Franklin Gothic Book" w:cs="Aptos"/>
        </w:rPr>
        <w:t xml:space="preserve">FIMC </w:t>
      </w:r>
      <w:r w:rsidRPr="00061688">
        <w:rPr>
          <w:rFonts w:ascii="Franklin Gothic Book" w:eastAsia="Aptos" w:hAnsi="Franklin Gothic Book" w:cs="Aptos"/>
        </w:rPr>
        <w:t>MTM ACR offers an example of the standards that should be included in effective credentialing—facets that demonstrate an organization’s capacity for nutritionally appropriate meal design, nutrition services delivered by an RDN, food safety, and compliance with applicable regulations such as HIPAA, among other</w:t>
      </w:r>
      <w:r w:rsidR="00CC5A8C">
        <w:rPr>
          <w:rFonts w:ascii="Franklin Gothic Book" w:eastAsia="Aptos" w:hAnsi="Franklin Gothic Book" w:cs="Aptos"/>
        </w:rPr>
        <w:t xml:space="preserve"> requirements</w:t>
      </w:r>
      <w:r w:rsidRPr="00061688">
        <w:rPr>
          <w:rFonts w:ascii="Franklin Gothic Book" w:eastAsia="Aptos" w:hAnsi="Franklin Gothic Book" w:cs="Aptos"/>
        </w:rPr>
        <w:t xml:space="preserve">.  </w:t>
      </w:r>
    </w:p>
    <w:p w14:paraId="5CCFBA91" w14:textId="411DB115" w:rsidR="07D68AEC" w:rsidRDefault="07D68AEC" w:rsidP="0016095C">
      <w:pPr>
        <w:rPr>
          <w:rFonts w:ascii="Franklin Gothic Book" w:eastAsia="Aptos" w:hAnsi="Franklin Gothic Book" w:cs="Aptos"/>
        </w:rPr>
      </w:pPr>
      <w:r w:rsidRPr="00061688">
        <w:rPr>
          <w:rFonts w:ascii="Franklin Gothic Book" w:eastAsia="Aptos" w:hAnsi="Franklin Gothic Book" w:cs="Aptos"/>
        </w:rPr>
        <w:t>Second, documentation requirements should allow for transparency in claims review and audits.  As described elsewhere in this comment letter, the foundation has been laid for codes that specify the nature of MTM services, thereby allowing for clarity, consistency, and accuracy in billing practices. Additional appropriate service documentation in a beneficiary’s medical record may include medical necessity, beneficiary consent to receive the service, a description of the treatment plan (i.e., the beneficiary’s nutrition assessment, assigned meal plan, number of meals per week, and duration of the intervention including renewal periods as they occur), and confirmation of service delivery to or receipt by the beneficiary.</w:t>
      </w:r>
    </w:p>
    <w:p w14:paraId="3FF9006E" w14:textId="77777777" w:rsidR="00136965" w:rsidRDefault="00136965" w:rsidP="0016095C">
      <w:pPr>
        <w:rPr>
          <w:rFonts w:ascii="Franklin Gothic Book" w:eastAsia="Aptos" w:hAnsi="Franklin Gothic Book" w:cs="Aptos"/>
        </w:rPr>
      </w:pPr>
    </w:p>
    <w:p w14:paraId="757E9740" w14:textId="77777777" w:rsidR="00A86626" w:rsidRPr="00061688" w:rsidRDefault="00A86626" w:rsidP="0016095C">
      <w:pPr>
        <w:rPr>
          <w:rFonts w:ascii="Franklin Gothic Book" w:hAnsi="Franklin Gothic Book"/>
        </w:rPr>
      </w:pPr>
      <w:r w:rsidRPr="00061688">
        <w:rPr>
          <w:rFonts w:ascii="Franklin Gothic Book" w:hAnsi="Franklin Gothic Book"/>
          <w:b/>
          <w:bCs/>
        </w:rPr>
        <w:t>Additional Considerations</w:t>
      </w:r>
      <w:r w:rsidRPr="00061688">
        <w:rPr>
          <w:rFonts w:ascii="Franklin Gothic Book" w:hAnsi="Franklin Gothic Book"/>
        </w:rPr>
        <w:t> </w:t>
      </w:r>
    </w:p>
    <w:p w14:paraId="62B1F7A2" w14:textId="33207A3A" w:rsidR="003F0C07" w:rsidRPr="00061688" w:rsidRDefault="07D68AEC" w:rsidP="0016095C">
      <w:pPr>
        <w:rPr>
          <w:rFonts w:ascii="Franklin Gothic Book" w:hAnsi="Franklin Gothic Book"/>
        </w:rPr>
      </w:pPr>
      <w:r w:rsidRPr="00061688">
        <w:rPr>
          <w:rFonts w:ascii="Franklin Gothic Book" w:hAnsi="Franklin Gothic Book"/>
        </w:rPr>
        <w:t>In addition to the specific points raised in the RFI itself, we recommend that CMS consider the following points as it moves forward in developing its MTM coverage proposal:</w:t>
      </w:r>
    </w:p>
    <w:p w14:paraId="2173BFDF" w14:textId="638EB0BF" w:rsidR="003F0C07" w:rsidRPr="00AD1F0C" w:rsidRDefault="1AC6925E" w:rsidP="21662357">
      <w:pPr>
        <w:pStyle w:val="ListParagraph"/>
        <w:numPr>
          <w:ilvl w:val="0"/>
          <w:numId w:val="82"/>
        </w:numPr>
        <w:rPr>
          <w:rFonts w:ascii="Franklin Gothic Book" w:hAnsi="Franklin Gothic Book"/>
        </w:rPr>
      </w:pPr>
      <w:r w:rsidRPr="00AD1F0C">
        <w:rPr>
          <w:rFonts w:ascii="Franklin Gothic Book" w:hAnsi="Franklin Gothic Book"/>
          <w:b/>
          <w:bCs/>
        </w:rPr>
        <w:t>Valuation:</w:t>
      </w:r>
      <w:r w:rsidRPr="00AD1F0C">
        <w:rPr>
          <w:rFonts w:ascii="Franklin Gothic Book" w:hAnsi="Franklin Gothic Book"/>
        </w:rPr>
        <w:t xml:space="preserve"> In creating an MTM incident-to service, CMS will need to determine valuation for payment purposes. In setting service valuation, we urge CMS to consider the full components of the intervention (e.g., nutrition assessment</w:t>
      </w:r>
      <w:r w:rsidR="00136965">
        <w:rPr>
          <w:rFonts w:ascii="Franklin Gothic Book" w:hAnsi="Franklin Gothic Book"/>
        </w:rPr>
        <w:t xml:space="preserve"> with an RDN or nutrition professional</w:t>
      </w:r>
      <w:r w:rsidRPr="00AD1F0C">
        <w:rPr>
          <w:rFonts w:ascii="Franklin Gothic Book" w:hAnsi="Franklin Gothic Book"/>
        </w:rPr>
        <w:t xml:space="preserve">, meal design, meal preparation with high-quality ingredients, meal delivery) and the ways in which these components impact cost. </w:t>
      </w:r>
      <w:proofErr w:type="gramStart"/>
      <w:r w:rsidRPr="00AD1F0C">
        <w:rPr>
          <w:rFonts w:ascii="Franklin Gothic Book" w:hAnsi="Franklin Gothic Book"/>
        </w:rPr>
        <w:t>The MTM</w:t>
      </w:r>
      <w:proofErr w:type="gramEnd"/>
      <w:r w:rsidRPr="00AD1F0C">
        <w:rPr>
          <w:rFonts w:ascii="Franklin Gothic Book" w:hAnsi="Franklin Gothic Book"/>
        </w:rPr>
        <w:t xml:space="preserve"> intervention is notably more complex than standard meal services, due to the patient-centered, tailored nature of the intervention. As a result, we encourage CMS to take this complexity into account and look </w:t>
      </w:r>
      <w:proofErr w:type="gramStart"/>
      <w:r w:rsidRPr="00AD1F0C">
        <w:rPr>
          <w:rFonts w:ascii="Franklin Gothic Book" w:hAnsi="Franklin Gothic Book"/>
        </w:rPr>
        <w:t>to</w:t>
      </w:r>
      <w:proofErr w:type="gramEnd"/>
      <w:r w:rsidRPr="00AD1F0C">
        <w:rPr>
          <w:rFonts w:ascii="Franklin Gothic Book" w:hAnsi="Franklin Gothic Book"/>
        </w:rPr>
        <w:t xml:space="preserve"> examples that specifically reflect the MTM model when determining valuation. For example, some peer reviewed </w:t>
      </w:r>
      <w:hyperlink r:id="rId25" w:history="1">
        <w:r w:rsidRPr="00AD1F0C">
          <w:rPr>
            <w:rStyle w:val="Hyperlink"/>
            <w:rFonts w:ascii="Franklin Gothic Book" w:hAnsi="Franklin Gothic Book"/>
          </w:rPr>
          <w:t>national modeling studies</w:t>
        </w:r>
      </w:hyperlink>
      <w:r w:rsidR="003E55AC" w:rsidRPr="00061688">
        <w:rPr>
          <w:rStyle w:val="EndnoteReference"/>
          <w:rFonts w:ascii="Franklin Gothic Book" w:hAnsi="Franklin Gothic Book"/>
        </w:rPr>
        <w:endnoteReference w:id="38"/>
      </w:r>
      <w:r w:rsidRPr="00AD1F0C">
        <w:rPr>
          <w:rFonts w:ascii="Franklin Gothic Book" w:hAnsi="Franklin Gothic Book"/>
        </w:rPr>
        <w:t xml:space="preserve"> have reported on average pricing across a cohort of MTM programs, and </w:t>
      </w:r>
      <w:hyperlink r:id="rId26" w:history="1">
        <w:r w:rsidRPr="00AD1F0C">
          <w:rPr>
            <w:rStyle w:val="Hyperlink"/>
            <w:rFonts w:ascii="Franklin Gothic Book" w:hAnsi="Franklin Gothic Book"/>
          </w:rPr>
          <w:t xml:space="preserve">some states </w:t>
        </w:r>
      </w:hyperlink>
      <w:r w:rsidRPr="00AD1F0C">
        <w:rPr>
          <w:rFonts w:ascii="Franklin Gothic Book" w:hAnsi="Franklin Gothic Book"/>
        </w:rPr>
        <w:t>have set fee schedules</w:t>
      </w:r>
      <w:r w:rsidR="003E55AC" w:rsidRPr="00061688">
        <w:rPr>
          <w:rStyle w:val="EndnoteReference"/>
          <w:rFonts w:ascii="Franklin Gothic Book" w:hAnsi="Franklin Gothic Book"/>
        </w:rPr>
        <w:endnoteReference w:id="39"/>
      </w:r>
      <w:r w:rsidRPr="00AD1F0C">
        <w:rPr>
          <w:rFonts w:ascii="Franklin Gothic Book" w:hAnsi="Franklin Gothic Book"/>
        </w:rPr>
        <w:t xml:space="preserve"> in their Medicaid programs that reflect historic data on MTM costs. These types of sources are likely to more accurately reflect the cost of the MTM service than</w:t>
      </w:r>
      <w:r w:rsidR="07D68AEC" w:rsidRPr="00AD1F0C">
        <w:rPr>
          <w:rFonts w:ascii="Franklin Gothic Book" w:hAnsi="Franklin Gothic Book"/>
        </w:rPr>
        <w:t xml:space="preserve"> sources describing the cost of non-tailored meals.</w:t>
      </w:r>
      <w:r w:rsidR="00AD1F0C" w:rsidRPr="00AD1F0C">
        <w:rPr>
          <w:rFonts w:ascii="Franklin Gothic Book" w:hAnsi="Franklin Gothic Book"/>
        </w:rPr>
        <w:t xml:space="preserve"> Further, allowance should be made for differing delivery costs based on the geography of the proposed population </w:t>
      </w:r>
      <w:proofErr w:type="gramStart"/>
      <w:r w:rsidR="00AD1F0C" w:rsidRPr="00AD1F0C">
        <w:rPr>
          <w:rFonts w:ascii="Franklin Gothic Book" w:hAnsi="Franklin Gothic Book"/>
        </w:rPr>
        <w:t>targeted—</w:t>
      </w:r>
      <w:proofErr w:type="gramEnd"/>
      <w:r w:rsidR="00AD1F0C" w:rsidRPr="00AD1F0C">
        <w:rPr>
          <w:rFonts w:ascii="Franklin Gothic Book" w:hAnsi="Franklin Gothic Book"/>
        </w:rPr>
        <w:t>e.g. reaching rural or outlying areas via shipping or delivery can cost more.</w:t>
      </w:r>
    </w:p>
    <w:p w14:paraId="36399AFF" w14:textId="75ECF07B" w:rsidR="07D68AEC" w:rsidRPr="00061688" w:rsidRDefault="763A2FC4" w:rsidP="0016095C">
      <w:pPr>
        <w:pStyle w:val="ListParagraph"/>
        <w:numPr>
          <w:ilvl w:val="0"/>
          <w:numId w:val="77"/>
        </w:numPr>
        <w:rPr>
          <w:rFonts w:ascii="Franklin Gothic Book" w:hAnsi="Franklin Gothic Book"/>
        </w:rPr>
      </w:pPr>
      <w:r w:rsidRPr="763A2FC4">
        <w:rPr>
          <w:rFonts w:ascii="Franklin Gothic Book" w:hAnsi="Franklin Gothic Book"/>
          <w:b/>
          <w:bCs/>
        </w:rPr>
        <w:t>Virtual and In-Person Services</w:t>
      </w:r>
      <w:r w:rsidRPr="763A2FC4">
        <w:rPr>
          <w:rFonts w:ascii="Franklin Gothic Book" w:hAnsi="Franklin Gothic Book"/>
        </w:rPr>
        <w:t xml:space="preserve">: In general, direct face-to-face interaction is not necessary for high-quality, appropriate MTM service provision. Further, allowing for different modes of service delivery—to improve accessibility—for severely ill populations is important. We recommend that CMS explicitly allow for the service, including nutrition assessments, to occur virtually, in person, or through a mix of virtual and in-person encounters.  </w:t>
      </w:r>
    </w:p>
    <w:p w14:paraId="2C9DC794" w14:textId="12EF42AF" w:rsidR="003F0C07" w:rsidRPr="00061688" w:rsidRDefault="1AC6925E" w:rsidP="0016095C">
      <w:pPr>
        <w:pStyle w:val="ListParagraph"/>
        <w:numPr>
          <w:ilvl w:val="0"/>
          <w:numId w:val="77"/>
        </w:numPr>
        <w:rPr>
          <w:rFonts w:ascii="Franklin Gothic Book" w:hAnsi="Franklin Gothic Book"/>
        </w:rPr>
      </w:pPr>
      <w:r w:rsidRPr="00061688">
        <w:rPr>
          <w:rFonts w:ascii="Franklin Gothic Book" w:hAnsi="Franklin Gothic Book"/>
          <w:b/>
          <w:bCs/>
        </w:rPr>
        <w:t>Step-Down Services/Other FIM</w:t>
      </w:r>
      <w:r w:rsidR="00772A6B">
        <w:rPr>
          <w:rFonts w:ascii="Franklin Gothic Book" w:hAnsi="Franklin Gothic Book"/>
          <w:b/>
          <w:bCs/>
        </w:rPr>
        <w:t xml:space="preserve"> Interventions</w:t>
      </w:r>
      <w:r w:rsidRPr="00061688">
        <w:rPr>
          <w:rFonts w:ascii="Franklin Gothic Book" w:hAnsi="Franklin Gothic Book"/>
          <w:b/>
          <w:bCs/>
        </w:rPr>
        <w:t xml:space="preserve">: </w:t>
      </w:r>
      <w:r w:rsidRPr="00061688">
        <w:rPr>
          <w:rFonts w:ascii="Franklin Gothic Book" w:hAnsi="Franklin Gothic Book"/>
        </w:rPr>
        <w:t xml:space="preserve">Additionally, we recognize MTMs are only one of a range of </w:t>
      </w:r>
      <w:proofErr w:type="gramStart"/>
      <w:r w:rsidRPr="00061688">
        <w:rPr>
          <w:rFonts w:ascii="Franklin Gothic Book" w:hAnsi="Franklin Gothic Book"/>
        </w:rPr>
        <w:t>nutrition</w:t>
      </w:r>
      <w:proofErr w:type="gramEnd"/>
      <w:r w:rsidRPr="00061688">
        <w:rPr>
          <w:rFonts w:ascii="Franklin Gothic Book" w:hAnsi="Franklin Gothic Book"/>
        </w:rPr>
        <w:t xml:space="preserve"> supports that may be an appropriate component of </w:t>
      </w:r>
      <w:r w:rsidRPr="00061688">
        <w:rPr>
          <w:rFonts w:ascii="Franklin Gothic Book" w:hAnsi="Franklin Gothic Book"/>
        </w:rPr>
        <w:lastRenderedPageBreak/>
        <w:t>treatment for individuals living with diet-sensitive</w:t>
      </w:r>
      <w:r w:rsidR="00772A6B">
        <w:rPr>
          <w:rFonts w:ascii="Franklin Gothic Book" w:hAnsi="Franklin Gothic Book"/>
        </w:rPr>
        <w:t xml:space="preserve"> and other </w:t>
      </w:r>
      <w:r w:rsidR="00AD1F0C">
        <w:rPr>
          <w:rFonts w:ascii="Franklin Gothic Book" w:hAnsi="Franklin Gothic Book"/>
        </w:rPr>
        <w:t>severe</w:t>
      </w:r>
      <w:r w:rsidR="00772A6B">
        <w:rPr>
          <w:rFonts w:ascii="Franklin Gothic Book" w:hAnsi="Franklin Gothic Book"/>
        </w:rPr>
        <w:t xml:space="preserve"> or complex</w:t>
      </w:r>
      <w:r w:rsidRPr="00061688">
        <w:rPr>
          <w:rFonts w:ascii="Franklin Gothic Book" w:hAnsi="Franklin Gothic Book"/>
        </w:rPr>
        <w:t xml:space="preserve"> conditions. As noted above, MTMs are a critical service for many individuals navigating advanced conditions. However, a growing body of evidence indicates that medically tailored groceries and produce prescriptions</w:t>
      </w:r>
      <w:r w:rsidR="003E4829" w:rsidRPr="00061688">
        <w:rPr>
          <w:rStyle w:val="EndnoteReference"/>
          <w:rFonts w:ascii="Franklin Gothic Book" w:hAnsi="Franklin Gothic Book"/>
        </w:rPr>
        <w:endnoteReference w:id="40"/>
      </w:r>
      <w:r w:rsidR="00772A6B">
        <w:rPr>
          <w:rFonts w:ascii="Franklin Gothic Book" w:hAnsi="Franklin Gothic Book"/>
        </w:rPr>
        <w:t xml:space="preserve"> </w:t>
      </w:r>
      <w:r w:rsidRPr="00061688">
        <w:rPr>
          <w:rFonts w:ascii="Franklin Gothic Book" w:hAnsi="Franklin Gothic Book"/>
        </w:rPr>
        <w:t xml:space="preserve">can also be a beneficial component of treatment for individuals who are experiencing a diet-sensitive condition but whose needs are less acute (e.g., for individuals who are still able to shop and prepare food). We therefore encourage CMS to consider taking a similar approach to creating coverage pathways for these services </w:t>
      </w:r>
      <w:r w:rsidR="00772A6B" w:rsidRPr="00061688">
        <w:rPr>
          <w:rFonts w:ascii="Franklin Gothic Book" w:hAnsi="Franklin Gothic Book"/>
        </w:rPr>
        <w:t>to</w:t>
      </w:r>
      <w:r w:rsidRPr="00061688">
        <w:rPr>
          <w:rFonts w:ascii="Franklin Gothic Book" w:hAnsi="Franklin Gothic Book"/>
        </w:rPr>
        <w:t xml:space="preserve"> ensure that Medicare enrollees </w:t>
      </w:r>
      <w:r w:rsidR="00136965" w:rsidRPr="00061688">
        <w:rPr>
          <w:rFonts w:ascii="Franklin Gothic Book" w:hAnsi="Franklin Gothic Book"/>
        </w:rPr>
        <w:t>can</w:t>
      </w:r>
      <w:r w:rsidRPr="00061688">
        <w:rPr>
          <w:rFonts w:ascii="Franklin Gothic Book" w:hAnsi="Franklin Gothic Book"/>
        </w:rPr>
        <w:t xml:space="preserve"> </w:t>
      </w:r>
      <w:proofErr w:type="gramStart"/>
      <w:r w:rsidRPr="00061688">
        <w:rPr>
          <w:rFonts w:ascii="Franklin Gothic Book" w:hAnsi="Franklin Gothic Book"/>
        </w:rPr>
        <w:t>be connected with</w:t>
      </w:r>
      <w:proofErr w:type="gramEnd"/>
      <w:r w:rsidRPr="00061688">
        <w:rPr>
          <w:rFonts w:ascii="Franklin Gothic Book" w:hAnsi="Franklin Gothic Book"/>
        </w:rPr>
        <w:t xml:space="preserve"> the nutrition supports that reflect their individual level of need.</w:t>
      </w:r>
    </w:p>
    <w:p w14:paraId="33268F02" w14:textId="12B6D102" w:rsidR="00A86626" w:rsidRPr="00061688" w:rsidRDefault="763A2FC4" w:rsidP="0016095C">
      <w:pPr>
        <w:pStyle w:val="ListParagraph"/>
        <w:numPr>
          <w:ilvl w:val="0"/>
          <w:numId w:val="77"/>
        </w:numPr>
        <w:rPr>
          <w:rFonts w:ascii="Franklin Gothic Book" w:hAnsi="Franklin Gothic Book"/>
        </w:rPr>
      </w:pPr>
      <w:r w:rsidRPr="763A2FC4">
        <w:rPr>
          <w:rFonts w:ascii="Franklin Gothic Book" w:hAnsi="Franklin Gothic Book"/>
          <w:b/>
          <w:bCs/>
        </w:rPr>
        <w:t xml:space="preserve">Cost-Sharing: </w:t>
      </w:r>
      <w:r w:rsidRPr="763A2FC4">
        <w:rPr>
          <w:rFonts w:ascii="Franklin Gothic Book" w:hAnsi="Franklin Gothic Book"/>
        </w:rPr>
        <w:t xml:space="preserve">Finally, while not raised in the Request for Information, we recognize that the inclusion of MTM as a Medicare Part B service will likely result in the application of beneficiary cost-sharing requirements (20% coinsurance). </w:t>
      </w:r>
      <w:r w:rsidR="002876C7" w:rsidRPr="002876C7">
        <w:rPr>
          <w:rFonts w:ascii="Franklin Gothic Book" w:hAnsi="Franklin Gothic Book"/>
        </w:rPr>
        <w:t xml:space="preserve">Historically, </w:t>
      </w:r>
      <w:r w:rsidR="0004254E">
        <w:rPr>
          <w:rFonts w:ascii="Franklin Gothic Book" w:hAnsi="Franklin Gothic Book"/>
        </w:rPr>
        <w:t xml:space="preserve">provision of MTMs has not been accompanied by </w:t>
      </w:r>
      <w:r w:rsidR="002876C7" w:rsidRPr="002876C7">
        <w:rPr>
          <w:rFonts w:ascii="Franklin Gothic Book" w:hAnsi="Franklin Gothic Book"/>
        </w:rPr>
        <w:t xml:space="preserve">cost-sharing </w:t>
      </w:r>
      <w:r w:rsidR="0004254E">
        <w:rPr>
          <w:rFonts w:ascii="Franklin Gothic Book" w:hAnsi="Franklin Gothic Book"/>
        </w:rPr>
        <w:t>requirements</w:t>
      </w:r>
      <w:r w:rsidR="002876C7" w:rsidRPr="002876C7">
        <w:rPr>
          <w:rFonts w:ascii="Franklin Gothic Book" w:hAnsi="Franklin Gothic Book"/>
        </w:rPr>
        <w:t>, and there is concern</w:t>
      </w:r>
      <w:r w:rsidRPr="763A2FC4">
        <w:rPr>
          <w:rFonts w:ascii="Franklin Gothic Book" w:hAnsi="Franklin Gothic Book"/>
        </w:rPr>
        <w:t xml:space="preserve"> that cost-sharing poses a potential deterrent to service uptake. </w:t>
      </w:r>
      <w:r w:rsidR="0004254E" w:rsidRPr="005A567A">
        <w:rPr>
          <w:rFonts w:ascii="Franklin Gothic Book" w:hAnsi="Franklin Gothic Book"/>
          <w:highlight w:val="yellow"/>
        </w:rPr>
        <w:t>Insert your organization’s client experience</w:t>
      </w:r>
      <w:r w:rsidR="005A567A">
        <w:rPr>
          <w:rFonts w:ascii="Franklin Gothic Book" w:hAnsi="Franklin Gothic Book"/>
          <w:highlight w:val="yellow"/>
        </w:rPr>
        <w:t xml:space="preserve"> if relevant</w:t>
      </w:r>
      <w:r w:rsidR="0004254E" w:rsidRPr="005A567A">
        <w:rPr>
          <w:rFonts w:ascii="Franklin Gothic Book" w:hAnsi="Franklin Gothic Book"/>
          <w:highlight w:val="yellow"/>
        </w:rPr>
        <w:t>.</w:t>
      </w:r>
      <w:r w:rsidR="0004254E">
        <w:rPr>
          <w:rFonts w:ascii="Franklin Gothic Book" w:hAnsi="Franklin Gothic Book"/>
        </w:rPr>
        <w:t xml:space="preserve"> </w:t>
      </w:r>
      <w:r w:rsidRPr="763A2FC4">
        <w:rPr>
          <w:rFonts w:ascii="Franklin Gothic Book" w:hAnsi="Franklin Gothic Book"/>
        </w:rPr>
        <w:t xml:space="preserve">Given the potential hardship that this could pose to MTM recipients—and the barrier it could present to uptake of this important intervention—we urge CMS to explore options to eliminate cost-sharing for this service, or, at a minimum, work with other regulators as appropriate to provide guidance on sliding fee scales, co-insurance waivers, and other strategies to alleviate out-of-pocket costs for beneficiaries. </w:t>
      </w:r>
    </w:p>
    <w:p w14:paraId="6948FC31" w14:textId="77777777" w:rsidR="00A86626" w:rsidRPr="00061688" w:rsidRDefault="00A86626" w:rsidP="0016095C">
      <w:pPr>
        <w:rPr>
          <w:rFonts w:ascii="Franklin Gothic Book" w:hAnsi="Franklin Gothic Book"/>
        </w:rPr>
      </w:pPr>
      <w:r w:rsidRPr="00061688">
        <w:rPr>
          <w:rFonts w:ascii="Franklin Gothic Book" w:hAnsi="Franklin Gothic Book"/>
          <w:b/>
          <w:bCs/>
        </w:rPr>
        <w:t>Conclusion</w:t>
      </w:r>
      <w:r w:rsidRPr="00061688">
        <w:rPr>
          <w:rFonts w:ascii="Franklin Gothic Book" w:hAnsi="Franklin Gothic Book"/>
        </w:rPr>
        <w:t> </w:t>
      </w:r>
    </w:p>
    <w:p w14:paraId="2FFFD40B" w14:textId="3122A4FF" w:rsidR="00A86626" w:rsidRPr="00061688" w:rsidRDefault="71AABB52" w:rsidP="0016095C">
      <w:pPr>
        <w:rPr>
          <w:rFonts w:ascii="Franklin Gothic Book" w:hAnsi="Franklin Gothic Book"/>
        </w:rPr>
      </w:pPr>
      <w:r w:rsidRPr="00061688">
        <w:rPr>
          <w:rFonts w:ascii="Franklin Gothic Book" w:hAnsi="Franklin Gothic Book"/>
        </w:rPr>
        <w:t xml:space="preserve">Thank you for allowing us to provide comments on this important Request for Information. </w:t>
      </w:r>
      <w:r w:rsidR="0004254E" w:rsidRPr="005A567A">
        <w:rPr>
          <w:rFonts w:ascii="Franklin Gothic Book" w:hAnsi="Franklin Gothic Book"/>
          <w:highlight w:val="yellow"/>
        </w:rPr>
        <w:t>Insert your organization’s contact information</w:t>
      </w:r>
      <w:r w:rsidR="005A567A">
        <w:rPr>
          <w:rFonts w:ascii="Franklin Gothic Book" w:hAnsi="Franklin Gothic Book"/>
          <w:highlight w:val="yellow"/>
        </w:rPr>
        <w:t xml:space="preserve"> and closing here</w:t>
      </w:r>
      <w:r w:rsidR="0004254E" w:rsidRPr="005A567A">
        <w:rPr>
          <w:rFonts w:ascii="Franklin Gothic Book" w:hAnsi="Franklin Gothic Book"/>
          <w:highlight w:val="yellow"/>
        </w:rPr>
        <w:t>.</w:t>
      </w:r>
    </w:p>
    <w:p w14:paraId="04768796" w14:textId="77777777" w:rsidR="00A86626" w:rsidRPr="00061688" w:rsidRDefault="00A86626" w:rsidP="0016095C">
      <w:pPr>
        <w:rPr>
          <w:rFonts w:ascii="Franklin Gothic Book" w:hAnsi="Franklin Gothic Book"/>
        </w:rPr>
      </w:pPr>
      <w:r w:rsidRPr="00061688">
        <w:rPr>
          <w:rFonts w:ascii="Franklin Gothic Book" w:hAnsi="Franklin Gothic Book"/>
        </w:rPr>
        <w:t> </w:t>
      </w:r>
    </w:p>
    <w:p w14:paraId="523C33F2" w14:textId="77777777" w:rsidR="00A86626" w:rsidRPr="00061688" w:rsidRDefault="00A86626" w:rsidP="0016095C">
      <w:pPr>
        <w:rPr>
          <w:rFonts w:ascii="Franklin Gothic Book" w:hAnsi="Franklin Gothic Book"/>
        </w:rPr>
      </w:pPr>
      <w:r w:rsidRPr="00061688">
        <w:rPr>
          <w:rFonts w:ascii="Franklin Gothic Book" w:hAnsi="Franklin Gothic Book"/>
        </w:rPr>
        <w:t>Sincerely, </w:t>
      </w:r>
    </w:p>
    <w:p w14:paraId="59C6A8EB" w14:textId="680720C9" w:rsidR="00A86626" w:rsidRPr="00061688" w:rsidRDefault="71AABB52" w:rsidP="0016095C">
      <w:pPr>
        <w:rPr>
          <w:rFonts w:ascii="Franklin Gothic Book" w:hAnsi="Franklin Gothic Book"/>
        </w:rPr>
      </w:pPr>
      <w:r w:rsidRPr="00061688">
        <w:rPr>
          <w:rFonts w:ascii="Franklin Gothic Book" w:hAnsi="Franklin Gothic Book"/>
        </w:rPr>
        <w:t> </w:t>
      </w:r>
    </w:p>
    <w:p w14:paraId="1398CCD5" w14:textId="13DFB32B" w:rsidR="002F7FCA" w:rsidRPr="00061688" w:rsidRDefault="0004254E" w:rsidP="0016095C">
      <w:pPr>
        <w:rPr>
          <w:rFonts w:ascii="Franklin Gothic Book" w:hAnsi="Franklin Gothic Book"/>
        </w:rPr>
      </w:pPr>
      <w:r w:rsidRPr="005A567A">
        <w:rPr>
          <w:rFonts w:ascii="Franklin Gothic Book" w:hAnsi="Franklin Gothic Book"/>
          <w:highlight w:val="yellow"/>
        </w:rPr>
        <w:t>Sign from your organization</w:t>
      </w:r>
    </w:p>
    <w:sectPr w:rsidR="002F7FCA" w:rsidRPr="00061688">
      <w:headerReference w:type="even" r:id="rId27"/>
      <w:headerReference w:type="default" r:id="rId28"/>
      <w:footerReference w:type="even" r:id="rId29"/>
      <w:footerReference w:type="default" r:id="rId30"/>
      <w:headerReference w:type="first" r:id="rId31"/>
      <w:footerReference w:type="first" r:id="rId3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A2A6C" w14:textId="77777777" w:rsidR="00A922C7" w:rsidRDefault="00A922C7" w:rsidP="00205B39">
      <w:pPr>
        <w:spacing w:after="0" w:line="240" w:lineRule="auto"/>
      </w:pPr>
      <w:r>
        <w:separator/>
      </w:r>
    </w:p>
  </w:endnote>
  <w:endnote w:type="continuationSeparator" w:id="0">
    <w:p w14:paraId="3535D810" w14:textId="77777777" w:rsidR="00A922C7" w:rsidRDefault="00A922C7" w:rsidP="00205B39">
      <w:pPr>
        <w:spacing w:after="0" w:line="240" w:lineRule="auto"/>
      </w:pPr>
      <w:r>
        <w:continuationSeparator/>
      </w:r>
    </w:p>
  </w:endnote>
  <w:endnote w:id="1">
    <w:p w14:paraId="3A8D3409" w14:textId="77777777" w:rsidR="0004254E" w:rsidRPr="00853722" w:rsidRDefault="0004254E" w:rsidP="0004254E">
      <w:pPr>
        <w:pStyle w:val="EndnoteText"/>
        <w:rPr>
          <w:rFonts w:ascii="Franklin Gothic Book" w:eastAsiaTheme="minorEastAsia" w:hAnsi="Franklin Gothic Book"/>
          <w:sz w:val="18"/>
          <w:szCs w:val="18"/>
        </w:rPr>
      </w:pPr>
      <w:r w:rsidRPr="00853722">
        <w:rPr>
          <w:rStyle w:val="EndnoteReference"/>
          <w:rFonts w:ascii="Franklin Gothic Book" w:eastAsiaTheme="minorEastAsia" w:hAnsi="Franklin Gothic Book"/>
          <w:sz w:val="18"/>
          <w:szCs w:val="18"/>
        </w:rPr>
        <w:endnoteRef/>
      </w:r>
      <w:r w:rsidRPr="00853722">
        <w:rPr>
          <w:rFonts w:ascii="Franklin Gothic Book" w:eastAsiaTheme="minorEastAsia" w:hAnsi="Franklin Gothic Book"/>
          <w:sz w:val="18"/>
          <w:szCs w:val="18"/>
        </w:rPr>
        <w:t xml:space="preserve"> </w:t>
      </w:r>
      <w:r w:rsidRPr="00853722">
        <w:rPr>
          <w:rFonts w:ascii="Franklin Gothic Book" w:eastAsiaTheme="minorEastAsia" w:hAnsi="Franklin Gothic Book"/>
          <w:color w:val="000000" w:themeColor="text1"/>
          <w:sz w:val="18"/>
          <w:szCs w:val="18"/>
        </w:rPr>
        <w:t xml:space="preserve">U.S. Department of Health and Human Services, </w:t>
      </w:r>
      <w:hyperlink r:id="rId1" w:history="1">
        <w:r w:rsidRPr="00853722">
          <w:rPr>
            <w:rStyle w:val="Hyperlink"/>
            <w:rFonts w:ascii="Franklin Gothic Book" w:eastAsia="Times New Roman" w:hAnsi="Franklin Gothic Book" w:cs="Times New Roman"/>
            <w:sz w:val="18"/>
            <w:szCs w:val="18"/>
          </w:rPr>
          <w:t>Food Is Medicine Landscape Summary</w:t>
        </w:r>
      </w:hyperlink>
      <w:r w:rsidRPr="00853722">
        <w:rPr>
          <w:rFonts w:ascii="Franklin Gothic Book" w:eastAsiaTheme="minorEastAsia" w:hAnsi="Franklin Gothic Book"/>
          <w:color w:val="000000" w:themeColor="text1"/>
          <w:sz w:val="18"/>
          <w:szCs w:val="18"/>
        </w:rPr>
        <w:t xml:space="preserve"> (Sept. 2024); Kurt Hager et al., Aspen Institute, </w:t>
      </w:r>
      <w:hyperlink r:id="rId2" w:history="1">
        <w:r w:rsidRPr="00853722">
          <w:rPr>
            <w:rStyle w:val="Hyperlink"/>
            <w:rFonts w:ascii="Franklin Gothic Book" w:eastAsia="Times New Roman" w:hAnsi="Franklin Gothic Book" w:cs="Times New Roman"/>
            <w:sz w:val="18"/>
            <w:szCs w:val="18"/>
          </w:rPr>
          <w:t>Food is Medicine Research Action Plan</w:t>
        </w:r>
      </w:hyperlink>
      <w:r w:rsidRPr="00853722">
        <w:rPr>
          <w:rFonts w:ascii="Franklin Gothic Book" w:eastAsiaTheme="minorEastAsia" w:hAnsi="Franklin Gothic Book"/>
          <w:color w:val="000000" w:themeColor="text1"/>
          <w:sz w:val="18"/>
          <w:szCs w:val="18"/>
        </w:rPr>
        <w:t xml:space="preserve"> (2024).</w:t>
      </w:r>
    </w:p>
  </w:endnote>
  <w:endnote w:id="2">
    <w:p w14:paraId="322C0D29" w14:textId="77777777" w:rsidR="003C6579" w:rsidRPr="00853722" w:rsidRDefault="003C6579" w:rsidP="007828F3">
      <w:pPr>
        <w:pStyle w:val="EndnoteText"/>
        <w:rPr>
          <w:rFonts w:ascii="Franklin Gothic Book" w:eastAsiaTheme="minorEastAsia" w:hAnsi="Franklin Gothic Book"/>
          <w:sz w:val="18"/>
          <w:szCs w:val="18"/>
        </w:rPr>
      </w:pPr>
      <w:r w:rsidRPr="00853722">
        <w:rPr>
          <w:rStyle w:val="EndnoteReference"/>
          <w:rFonts w:ascii="Franklin Gothic Book" w:eastAsiaTheme="minorEastAsia" w:hAnsi="Franklin Gothic Book"/>
          <w:sz w:val="18"/>
          <w:szCs w:val="18"/>
        </w:rPr>
        <w:endnoteRef/>
      </w:r>
      <w:r w:rsidRPr="00853722">
        <w:rPr>
          <w:rFonts w:ascii="Franklin Gothic Book" w:eastAsiaTheme="minorEastAsia" w:hAnsi="Franklin Gothic Book"/>
          <w:sz w:val="18"/>
          <w:szCs w:val="18"/>
        </w:rPr>
        <w:t xml:space="preserve"> </w:t>
      </w:r>
      <w:r w:rsidRPr="00853722">
        <w:rPr>
          <w:rFonts w:ascii="Franklin Gothic Book" w:eastAsiaTheme="minorEastAsia" w:hAnsi="Franklin Gothic Book"/>
          <w:color w:val="000000" w:themeColor="text1"/>
          <w:sz w:val="18"/>
          <w:szCs w:val="18"/>
        </w:rPr>
        <w:t xml:space="preserve">US Burden of Disease Collaborators, The State of US Health, 1990-2016: Burden of Diseases, Injuries, and Risk Factors Among US States, 319(14) JAMA 1444 (2018), </w:t>
      </w:r>
      <w:hyperlink r:id="rId3" w:history="1">
        <w:r w:rsidRPr="00853722">
          <w:rPr>
            <w:rStyle w:val="Hyperlink"/>
            <w:rFonts w:ascii="Franklin Gothic Book" w:eastAsia="Times New Roman" w:hAnsi="Franklin Gothic Book" w:cs="Times New Roman"/>
            <w:sz w:val="18"/>
            <w:szCs w:val="18"/>
          </w:rPr>
          <w:t>https://doi.org/10.1001/jama.2018.0158</w:t>
        </w:r>
      </w:hyperlink>
      <w:r w:rsidRPr="00853722">
        <w:rPr>
          <w:rFonts w:ascii="Franklin Gothic Book" w:eastAsiaTheme="minorEastAsia" w:hAnsi="Franklin Gothic Book"/>
          <w:color w:val="000000" w:themeColor="text1"/>
          <w:sz w:val="18"/>
          <w:szCs w:val="18"/>
        </w:rPr>
        <w:t xml:space="preserve">; United States Government Accountability Office, </w:t>
      </w:r>
      <w:hyperlink r:id="rId4" w:history="1">
        <w:r w:rsidRPr="00853722">
          <w:rPr>
            <w:rStyle w:val="Hyperlink"/>
            <w:rFonts w:ascii="Franklin Gothic Book" w:eastAsia="Times New Roman" w:hAnsi="Franklin Gothic Book" w:cs="Times New Roman"/>
            <w:sz w:val="18"/>
            <w:szCs w:val="18"/>
          </w:rPr>
          <w:t>Chronic Health Conditions: Federal Strategy Needed to Coordinate Diet-Related Efforts</w:t>
        </w:r>
      </w:hyperlink>
      <w:r w:rsidRPr="00853722">
        <w:rPr>
          <w:rFonts w:ascii="Franklin Gothic Book" w:eastAsiaTheme="minorEastAsia" w:hAnsi="Franklin Gothic Book"/>
          <w:color w:val="000000" w:themeColor="text1"/>
          <w:sz w:val="18"/>
          <w:szCs w:val="18"/>
        </w:rPr>
        <w:t xml:space="preserve"> (Aug. 2021); US Centers for Disease Control and Prevention, </w:t>
      </w:r>
      <w:hyperlink r:id="rId5" w:history="1">
        <w:r w:rsidRPr="00853722">
          <w:rPr>
            <w:rStyle w:val="Hyperlink"/>
            <w:rFonts w:ascii="Franklin Gothic Book" w:eastAsia="Times New Roman" w:hAnsi="Franklin Gothic Book" w:cs="Times New Roman"/>
            <w:sz w:val="18"/>
            <w:szCs w:val="18"/>
          </w:rPr>
          <w:t>Fast Facts: Health and Economic Costs of Chronic Conditions</w:t>
        </w:r>
      </w:hyperlink>
      <w:r w:rsidRPr="00853722">
        <w:rPr>
          <w:rFonts w:ascii="Franklin Gothic Book" w:eastAsiaTheme="minorEastAsia" w:hAnsi="Franklin Gothic Book"/>
          <w:color w:val="000000" w:themeColor="text1"/>
          <w:sz w:val="18"/>
          <w:szCs w:val="18"/>
        </w:rPr>
        <w:t xml:space="preserve"> (July 12, 2024).</w:t>
      </w:r>
    </w:p>
  </w:endnote>
  <w:endnote w:id="3">
    <w:p w14:paraId="5F01A034" w14:textId="77777777" w:rsidR="003C6579" w:rsidRPr="00853722" w:rsidRDefault="003C6579" w:rsidP="007828F3">
      <w:pPr>
        <w:pStyle w:val="EndnoteText"/>
        <w:rPr>
          <w:rFonts w:ascii="Franklin Gothic Book" w:eastAsiaTheme="minorEastAsia" w:hAnsi="Franklin Gothic Book"/>
          <w:sz w:val="18"/>
          <w:szCs w:val="18"/>
        </w:rPr>
      </w:pPr>
      <w:r w:rsidRPr="00853722">
        <w:rPr>
          <w:rStyle w:val="EndnoteReference"/>
          <w:rFonts w:ascii="Franklin Gothic Book" w:eastAsiaTheme="minorEastAsia" w:hAnsi="Franklin Gothic Book"/>
          <w:sz w:val="18"/>
          <w:szCs w:val="18"/>
        </w:rPr>
        <w:endnoteRef/>
      </w:r>
      <w:r w:rsidRPr="00853722">
        <w:rPr>
          <w:rFonts w:ascii="Franklin Gothic Book" w:eastAsiaTheme="minorEastAsia" w:hAnsi="Franklin Gothic Book"/>
          <w:sz w:val="18"/>
          <w:szCs w:val="18"/>
        </w:rPr>
        <w:t xml:space="preserve"> </w:t>
      </w:r>
      <w:r w:rsidRPr="00853722">
        <w:rPr>
          <w:rFonts w:ascii="Franklin Gothic Book" w:eastAsiaTheme="minorEastAsia" w:hAnsi="Franklin Gothic Book"/>
          <w:color w:val="000000" w:themeColor="text1"/>
          <w:sz w:val="18"/>
          <w:szCs w:val="18"/>
        </w:rPr>
        <w:t xml:space="preserve">Dariush Mozaffarian et al., “Food is Medicine” Strategies for Nutrition Security and Cardiometabolic Health Equity: JACC State-of-the-Art Review, 83 J. AM. COLL. CARDIOL. 843 (2024), </w:t>
      </w:r>
      <w:hyperlink r:id="rId6" w:history="1">
        <w:r w:rsidRPr="00853722">
          <w:rPr>
            <w:rStyle w:val="Hyperlink"/>
            <w:rFonts w:ascii="Franklin Gothic Book" w:eastAsia="Times New Roman" w:hAnsi="Franklin Gothic Book" w:cs="Times New Roman"/>
            <w:sz w:val="18"/>
            <w:szCs w:val="18"/>
          </w:rPr>
          <w:t>https://www.jacc.org/doi/10.1016/j.jacc.2023.12.023</w:t>
        </w:r>
      </w:hyperlink>
      <w:r w:rsidRPr="00853722">
        <w:rPr>
          <w:rFonts w:ascii="Franklin Gothic Book" w:eastAsiaTheme="minorEastAsia" w:hAnsi="Franklin Gothic Book"/>
          <w:color w:val="000000" w:themeColor="text1"/>
          <w:sz w:val="18"/>
          <w:szCs w:val="18"/>
        </w:rPr>
        <w:t xml:space="preserve">. </w:t>
      </w:r>
      <w:r w:rsidRPr="00853722">
        <w:rPr>
          <w:rFonts w:ascii="Franklin Gothic Book" w:eastAsiaTheme="minorEastAsia" w:hAnsi="Franklin Gothic Book"/>
          <w:sz w:val="18"/>
          <w:szCs w:val="18"/>
        </w:rPr>
        <w:t xml:space="preserve"> </w:t>
      </w:r>
    </w:p>
  </w:endnote>
  <w:endnote w:id="4">
    <w:p w14:paraId="421D19C9" w14:textId="77777777" w:rsidR="003C6579" w:rsidRPr="00853722" w:rsidRDefault="003C6579" w:rsidP="007828F3">
      <w:pPr>
        <w:pStyle w:val="EndnoteText"/>
        <w:rPr>
          <w:rFonts w:ascii="Franklin Gothic Book" w:hAnsi="Franklin Gothic Book" w:cs="Times New Roman"/>
          <w:sz w:val="18"/>
          <w:szCs w:val="18"/>
        </w:rPr>
      </w:pPr>
      <w:r w:rsidRPr="00853722">
        <w:rPr>
          <w:rStyle w:val="EndnoteReference"/>
          <w:rFonts w:ascii="Franklin Gothic Book" w:hAnsi="Franklin Gothic Book" w:cs="Times New Roman"/>
          <w:sz w:val="18"/>
          <w:szCs w:val="18"/>
        </w:rPr>
        <w:endnoteRef/>
      </w:r>
      <w:r w:rsidRPr="00853722">
        <w:rPr>
          <w:rFonts w:ascii="Franklin Gothic Book" w:hAnsi="Franklin Gothic Book" w:cs="Times New Roman"/>
          <w:sz w:val="18"/>
          <w:szCs w:val="18"/>
        </w:rPr>
        <w:t xml:space="preserve"> Ridberg R, et </w:t>
      </w:r>
      <w:proofErr w:type="spellStart"/>
      <w:r w:rsidRPr="00853722">
        <w:rPr>
          <w:rFonts w:ascii="Franklin Gothic Book" w:hAnsi="Franklin Gothic Book" w:cs="Times New Roman"/>
          <w:sz w:val="18"/>
          <w:szCs w:val="18"/>
        </w:rPr>
        <w:t>al.'Food</w:t>
      </w:r>
      <w:proofErr w:type="spellEnd"/>
      <w:r w:rsidRPr="00853722">
        <w:rPr>
          <w:rFonts w:ascii="Franklin Gothic Book" w:hAnsi="Franklin Gothic Book" w:cs="Times New Roman"/>
          <w:sz w:val="18"/>
          <w:szCs w:val="18"/>
        </w:rPr>
        <w:t xml:space="preserve"> Is Medicine' In The US: A National Survey </w:t>
      </w:r>
      <w:proofErr w:type="gramStart"/>
      <w:r w:rsidRPr="00853722">
        <w:rPr>
          <w:rFonts w:ascii="Franklin Gothic Book" w:hAnsi="Franklin Gothic Book" w:cs="Times New Roman"/>
          <w:sz w:val="18"/>
          <w:szCs w:val="18"/>
        </w:rPr>
        <w:t>Of</w:t>
      </w:r>
      <w:proofErr w:type="gramEnd"/>
      <w:r w:rsidRPr="00853722">
        <w:rPr>
          <w:rFonts w:ascii="Franklin Gothic Book" w:hAnsi="Franklin Gothic Book" w:cs="Times New Roman"/>
          <w:sz w:val="18"/>
          <w:szCs w:val="18"/>
        </w:rPr>
        <w:t xml:space="preserve"> Public Perceptions </w:t>
      </w:r>
      <w:proofErr w:type="gramStart"/>
      <w:r w:rsidRPr="00853722">
        <w:rPr>
          <w:rFonts w:ascii="Franklin Gothic Book" w:hAnsi="Franklin Gothic Book" w:cs="Times New Roman"/>
          <w:sz w:val="18"/>
          <w:szCs w:val="18"/>
        </w:rPr>
        <w:t>Of</w:t>
      </w:r>
      <w:proofErr w:type="gramEnd"/>
      <w:r w:rsidRPr="00853722">
        <w:rPr>
          <w:rFonts w:ascii="Franklin Gothic Book" w:hAnsi="Franklin Gothic Book" w:cs="Times New Roman"/>
          <w:sz w:val="18"/>
          <w:szCs w:val="18"/>
        </w:rPr>
        <w:t xml:space="preserve"> Care, Practices, And Policies. Health Aff (Millwood). 2025 Apr;44(4):398-405. </w:t>
      </w:r>
      <w:proofErr w:type="spellStart"/>
      <w:r w:rsidRPr="00853722">
        <w:rPr>
          <w:rFonts w:ascii="Franklin Gothic Book" w:hAnsi="Franklin Gothic Book" w:cs="Times New Roman"/>
          <w:sz w:val="18"/>
          <w:szCs w:val="18"/>
        </w:rPr>
        <w:t>doi</w:t>
      </w:r>
      <w:proofErr w:type="spellEnd"/>
      <w:r w:rsidRPr="00853722">
        <w:rPr>
          <w:rFonts w:ascii="Franklin Gothic Book" w:hAnsi="Franklin Gothic Book" w:cs="Times New Roman"/>
          <w:sz w:val="18"/>
          <w:szCs w:val="18"/>
        </w:rPr>
        <w:t xml:space="preserve">: 10.1377/hlthaff.2024.00585. </w:t>
      </w:r>
      <w:proofErr w:type="spellStart"/>
      <w:r w:rsidRPr="00853722">
        <w:rPr>
          <w:rFonts w:ascii="Franklin Gothic Book" w:hAnsi="Franklin Gothic Book" w:cs="Times New Roman"/>
          <w:sz w:val="18"/>
          <w:szCs w:val="18"/>
        </w:rPr>
        <w:t>Epub</w:t>
      </w:r>
      <w:proofErr w:type="spellEnd"/>
      <w:r w:rsidRPr="00853722">
        <w:rPr>
          <w:rFonts w:ascii="Franklin Gothic Book" w:hAnsi="Franklin Gothic Book" w:cs="Times New Roman"/>
          <w:sz w:val="18"/>
          <w:szCs w:val="18"/>
        </w:rPr>
        <w:t xml:space="preserve"> 2025 Mar 12. PMID: 40071742.</w:t>
      </w:r>
    </w:p>
  </w:endnote>
  <w:endnote w:id="5">
    <w:p w14:paraId="59FA74AC" w14:textId="1C67FC90" w:rsidR="07D68AEC" w:rsidRPr="00853722" w:rsidRDefault="07D68AEC" w:rsidP="007828F3">
      <w:pPr>
        <w:pStyle w:val="EndnoteText"/>
        <w:rPr>
          <w:rFonts w:ascii="Franklin Gothic Book" w:eastAsia="Times New Roman" w:hAnsi="Franklin Gothic Book" w:cs="Times New Roman"/>
          <w:color w:val="000000" w:themeColor="text1"/>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hAnsi="Franklin Gothic Book"/>
          <w:i/>
          <w:iCs/>
          <w:sz w:val="18"/>
          <w:szCs w:val="18"/>
        </w:rPr>
        <w:t xml:space="preserve">See </w:t>
      </w:r>
      <w:r w:rsidRPr="00853722">
        <w:rPr>
          <w:rFonts w:ascii="Franklin Gothic Book" w:hAnsi="Franklin Gothic Book"/>
          <w:sz w:val="18"/>
          <w:szCs w:val="18"/>
        </w:rPr>
        <w:t>4</w:t>
      </w:r>
      <w:r w:rsidRPr="00853722">
        <w:rPr>
          <w:rFonts w:ascii="Franklin Gothic Book" w:eastAsiaTheme="minorEastAsia" w:hAnsi="Franklin Gothic Book"/>
          <w:sz w:val="18"/>
          <w:szCs w:val="18"/>
        </w:rPr>
        <w:t xml:space="preserve">2 U.S.C. </w:t>
      </w:r>
      <w:r w:rsidRPr="00853722">
        <w:rPr>
          <w:rFonts w:ascii="Franklin Gothic Book" w:eastAsiaTheme="minorEastAsia" w:hAnsi="Franklin Gothic Book"/>
          <w:color w:val="000000" w:themeColor="text1"/>
          <w:sz w:val="18"/>
          <w:szCs w:val="18"/>
        </w:rPr>
        <w:t>§ 1395x(</w:t>
      </w:r>
      <w:proofErr w:type="spellStart"/>
      <w:r w:rsidRPr="00853722">
        <w:rPr>
          <w:rFonts w:ascii="Franklin Gothic Book" w:eastAsiaTheme="minorEastAsia" w:hAnsi="Franklin Gothic Book"/>
          <w:color w:val="000000" w:themeColor="text1"/>
          <w:sz w:val="18"/>
          <w:szCs w:val="18"/>
        </w:rPr>
        <w:t>vv</w:t>
      </w:r>
      <w:proofErr w:type="spellEnd"/>
      <w:r w:rsidRPr="00853722">
        <w:rPr>
          <w:rFonts w:ascii="Franklin Gothic Book" w:eastAsiaTheme="minorEastAsia" w:hAnsi="Franklin Gothic Book"/>
          <w:color w:val="000000" w:themeColor="text1"/>
          <w:sz w:val="18"/>
          <w:szCs w:val="18"/>
        </w:rPr>
        <w:t>) (defining RDN and nutrition professional).</w:t>
      </w:r>
    </w:p>
  </w:endnote>
  <w:endnote w:id="6">
    <w:p w14:paraId="142F39A6" w14:textId="78A32C45" w:rsidR="00C2146A" w:rsidRPr="00853722" w:rsidRDefault="00C2146A" w:rsidP="24191063">
      <w:pPr>
        <w:pBdr>
          <w:top w:val="nil"/>
          <w:left w:val="nil"/>
          <w:bottom w:val="nil"/>
          <w:right w:val="nil"/>
          <w:between w:val="nil"/>
        </w:pBdr>
        <w:spacing w:after="0" w:line="240" w:lineRule="auto"/>
        <w:rPr>
          <w:rFonts w:ascii="Franklin Gothic Book" w:eastAsiaTheme="minorEastAsia" w:hAnsi="Franklin Gothic Book"/>
          <w:color w:val="000000"/>
          <w:sz w:val="18"/>
          <w:szCs w:val="18"/>
        </w:rPr>
      </w:pPr>
      <w:r w:rsidRPr="00853722">
        <w:rPr>
          <w:rStyle w:val="EndnoteReference"/>
          <w:rFonts w:ascii="Franklin Gothic Book" w:eastAsiaTheme="minorEastAsia" w:hAnsi="Franklin Gothic Book"/>
          <w:sz w:val="18"/>
          <w:szCs w:val="18"/>
        </w:rPr>
        <w:endnoteRef/>
      </w:r>
      <w:r w:rsidRPr="00853722">
        <w:rPr>
          <w:rFonts w:ascii="Franklin Gothic Book" w:eastAsiaTheme="minorEastAsia" w:hAnsi="Franklin Gothic Book"/>
          <w:sz w:val="18"/>
          <w:szCs w:val="18"/>
        </w:rPr>
        <w:t xml:space="preserve"> </w:t>
      </w:r>
      <w:r w:rsidR="24191063" w:rsidRPr="00853722">
        <w:rPr>
          <w:rFonts w:ascii="Franklin Gothic Book" w:eastAsiaTheme="minorEastAsia" w:hAnsi="Franklin Gothic Book"/>
          <w:color w:val="000000" w:themeColor="text1"/>
          <w:sz w:val="18"/>
          <w:szCs w:val="18"/>
        </w:rPr>
        <w:t xml:space="preserve">Go AS, Tan TC, Horiuchi KM, et al. Effect of Medically Tailored Meals on Clinical Outcomes in Recently Hospitalized High-Risk Adults. </w:t>
      </w:r>
      <w:r w:rsidR="24191063" w:rsidRPr="00853722">
        <w:rPr>
          <w:rFonts w:ascii="Franklin Gothic Book" w:eastAsiaTheme="minorEastAsia" w:hAnsi="Franklin Gothic Book"/>
          <w:i/>
          <w:iCs/>
          <w:color w:val="000000" w:themeColor="text1"/>
          <w:sz w:val="18"/>
          <w:szCs w:val="18"/>
        </w:rPr>
        <w:t>Med Care</w:t>
      </w:r>
      <w:r w:rsidR="24191063" w:rsidRPr="00853722">
        <w:rPr>
          <w:rFonts w:ascii="Franklin Gothic Book" w:eastAsiaTheme="minorEastAsia" w:hAnsi="Franklin Gothic Book"/>
          <w:color w:val="000000" w:themeColor="text1"/>
          <w:sz w:val="18"/>
          <w:szCs w:val="18"/>
        </w:rPr>
        <w:t>. Oct 1</w:t>
      </w:r>
      <w:proofErr w:type="gramStart"/>
      <w:r w:rsidR="24191063" w:rsidRPr="00853722">
        <w:rPr>
          <w:rFonts w:ascii="Franklin Gothic Book" w:eastAsiaTheme="minorEastAsia" w:hAnsi="Franklin Gothic Book"/>
          <w:color w:val="000000" w:themeColor="text1"/>
          <w:sz w:val="18"/>
          <w:szCs w:val="18"/>
        </w:rPr>
        <w:t xml:space="preserve"> 2022</w:t>
      </w:r>
      <w:proofErr w:type="gramEnd"/>
      <w:r w:rsidR="24191063" w:rsidRPr="00853722">
        <w:rPr>
          <w:rFonts w:ascii="Franklin Gothic Book" w:eastAsiaTheme="minorEastAsia" w:hAnsi="Franklin Gothic Book"/>
          <w:color w:val="000000" w:themeColor="text1"/>
          <w:sz w:val="18"/>
          <w:szCs w:val="18"/>
        </w:rPr>
        <w:t xml:space="preserve">;60(10):750-758. doi:10.1097/mlr.0000000000001759. </w:t>
      </w:r>
    </w:p>
  </w:endnote>
  <w:endnote w:id="7">
    <w:p w14:paraId="01A154F7" w14:textId="5560BAE3" w:rsidR="24191063" w:rsidRPr="00853722" w:rsidRDefault="24191063" w:rsidP="24191063">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eastAsia="Aptos" w:hAnsi="Franklin Gothic Book" w:cs="Aptos"/>
          <w:color w:val="000000" w:themeColor="text1"/>
          <w:sz w:val="18"/>
          <w:szCs w:val="18"/>
        </w:rPr>
        <w:t xml:space="preserve">Hummel SL, </w:t>
      </w:r>
      <w:proofErr w:type="spellStart"/>
      <w:r w:rsidRPr="00853722">
        <w:rPr>
          <w:rFonts w:ascii="Franklin Gothic Book" w:eastAsia="Aptos" w:hAnsi="Franklin Gothic Book" w:cs="Aptos"/>
          <w:color w:val="000000" w:themeColor="text1"/>
          <w:sz w:val="18"/>
          <w:szCs w:val="18"/>
        </w:rPr>
        <w:t>Karmally</w:t>
      </w:r>
      <w:proofErr w:type="spellEnd"/>
      <w:r w:rsidRPr="00853722">
        <w:rPr>
          <w:rFonts w:ascii="Franklin Gothic Book" w:eastAsia="Aptos" w:hAnsi="Franklin Gothic Book" w:cs="Aptos"/>
          <w:color w:val="000000" w:themeColor="text1"/>
          <w:sz w:val="18"/>
          <w:szCs w:val="18"/>
        </w:rPr>
        <w:t xml:space="preserve"> W, Gillespie BW, et al. Home-Delivered Meals Postdischarge </w:t>
      </w:r>
      <w:proofErr w:type="gramStart"/>
      <w:r w:rsidRPr="00853722">
        <w:rPr>
          <w:rFonts w:ascii="Franklin Gothic Book" w:eastAsia="Aptos" w:hAnsi="Franklin Gothic Book" w:cs="Aptos"/>
          <w:color w:val="000000" w:themeColor="text1"/>
          <w:sz w:val="18"/>
          <w:szCs w:val="18"/>
        </w:rPr>
        <w:t>From</w:t>
      </w:r>
      <w:proofErr w:type="gramEnd"/>
      <w:r w:rsidRPr="00853722">
        <w:rPr>
          <w:rFonts w:ascii="Franklin Gothic Book" w:eastAsia="Aptos" w:hAnsi="Franklin Gothic Book" w:cs="Aptos"/>
          <w:color w:val="000000" w:themeColor="text1"/>
          <w:sz w:val="18"/>
          <w:szCs w:val="18"/>
        </w:rPr>
        <w:t xml:space="preserve"> Heart Failure Hospitalization. </w:t>
      </w:r>
      <w:r w:rsidRPr="00853722">
        <w:rPr>
          <w:rFonts w:ascii="Franklin Gothic Book" w:eastAsia="Aptos" w:hAnsi="Franklin Gothic Book" w:cs="Aptos"/>
          <w:i/>
          <w:iCs/>
          <w:color w:val="000000" w:themeColor="text1"/>
          <w:sz w:val="18"/>
          <w:szCs w:val="18"/>
        </w:rPr>
        <w:t>Circulation: Heart Failure</w:t>
      </w:r>
      <w:r w:rsidRPr="00853722">
        <w:rPr>
          <w:rFonts w:ascii="Franklin Gothic Book" w:eastAsia="Aptos" w:hAnsi="Franklin Gothic Book" w:cs="Aptos"/>
          <w:color w:val="000000" w:themeColor="text1"/>
          <w:sz w:val="18"/>
          <w:szCs w:val="18"/>
        </w:rPr>
        <w:t>. 2018;11(8</w:t>
      </w:r>
      <w:proofErr w:type="gramStart"/>
      <w:r w:rsidRPr="00853722">
        <w:rPr>
          <w:rFonts w:ascii="Franklin Gothic Book" w:eastAsia="Aptos" w:hAnsi="Franklin Gothic Book" w:cs="Aptos"/>
          <w:color w:val="000000" w:themeColor="text1"/>
          <w:sz w:val="18"/>
          <w:szCs w:val="18"/>
        </w:rPr>
        <w:t>):e</w:t>
      </w:r>
      <w:proofErr w:type="gramEnd"/>
      <w:r w:rsidRPr="00853722">
        <w:rPr>
          <w:rFonts w:ascii="Franklin Gothic Book" w:eastAsia="Aptos" w:hAnsi="Franklin Gothic Book" w:cs="Aptos"/>
          <w:color w:val="000000" w:themeColor="text1"/>
          <w:sz w:val="18"/>
          <w:szCs w:val="18"/>
        </w:rPr>
        <w:t xml:space="preserve">004886. </w:t>
      </w:r>
      <w:proofErr w:type="gramStart"/>
      <w:r w:rsidRPr="00853722">
        <w:rPr>
          <w:rFonts w:ascii="Franklin Gothic Book" w:eastAsia="Aptos" w:hAnsi="Franklin Gothic Book" w:cs="Aptos"/>
          <w:color w:val="000000" w:themeColor="text1"/>
          <w:sz w:val="18"/>
          <w:szCs w:val="18"/>
        </w:rPr>
        <w:t>doi:doi</w:t>
      </w:r>
      <w:proofErr w:type="gramEnd"/>
      <w:r w:rsidRPr="00853722">
        <w:rPr>
          <w:rFonts w:ascii="Franklin Gothic Book" w:eastAsia="Aptos" w:hAnsi="Franklin Gothic Book" w:cs="Aptos"/>
          <w:color w:val="000000" w:themeColor="text1"/>
          <w:sz w:val="18"/>
          <w:szCs w:val="18"/>
        </w:rPr>
        <w:t xml:space="preserve">:10.1161/CIRCHEARTFAILURE.117.004886. </w:t>
      </w:r>
    </w:p>
  </w:endnote>
  <w:endnote w:id="8">
    <w:p w14:paraId="08E1E7C9" w14:textId="3793B8C6" w:rsidR="24191063" w:rsidRPr="00853722" w:rsidRDefault="24191063" w:rsidP="24191063">
      <w:pPr>
        <w:pStyle w:val="EndnoteText"/>
        <w:rPr>
          <w:rFonts w:ascii="Franklin Gothic Book" w:eastAsia="Aptos" w:hAnsi="Franklin Gothic Book" w:cs="Aptos"/>
          <w:color w:val="000000" w:themeColor="text1"/>
          <w:sz w:val="18"/>
          <w:szCs w:val="18"/>
          <w:lang w:val="en"/>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eastAsia="Aptos" w:hAnsi="Franklin Gothic Book" w:cs="Aptos"/>
          <w:color w:val="000000" w:themeColor="text1"/>
          <w:sz w:val="18"/>
          <w:szCs w:val="18"/>
        </w:rPr>
        <w:t xml:space="preserve">Palar et al. Medically supportive food and nutrition education improves health and reduces re-admission for safety-net patients hospitalized with heart failure exacerbation: A pilot randomized controlled trial. presented at: American </w:t>
      </w:r>
      <w:proofErr w:type="gramStart"/>
      <w:r w:rsidRPr="00853722">
        <w:rPr>
          <w:rFonts w:ascii="Franklin Gothic Book" w:eastAsia="Aptos" w:hAnsi="Franklin Gothic Book" w:cs="Aptos"/>
          <w:color w:val="000000" w:themeColor="text1"/>
          <w:sz w:val="18"/>
          <w:szCs w:val="18"/>
        </w:rPr>
        <w:t>Pubic</w:t>
      </w:r>
      <w:proofErr w:type="gramEnd"/>
      <w:r w:rsidRPr="00853722">
        <w:rPr>
          <w:rFonts w:ascii="Franklin Gothic Book" w:eastAsia="Aptos" w:hAnsi="Franklin Gothic Book" w:cs="Aptos"/>
          <w:color w:val="000000" w:themeColor="text1"/>
          <w:sz w:val="18"/>
          <w:szCs w:val="18"/>
        </w:rPr>
        <w:t xml:space="preserve"> Health Association Annual Meeting; 2022; Boston, MA. </w:t>
      </w:r>
      <w:hyperlink r:id="rId7">
        <w:r w:rsidRPr="00853722">
          <w:rPr>
            <w:rStyle w:val="Hyperlink"/>
            <w:rFonts w:ascii="Franklin Gothic Book" w:eastAsia="Aptos" w:hAnsi="Franklin Gothic Book" w:cs="Aptos"/>
            <w:color w:val="467886"/>
            <w:sz w:val="18"/>
            <w:szCs w:val="18"/>
          </w:rPr>
          <w:t>https://apha2022sessions.hubb.me/AbstractDetail.aspx?id=924950</w:t>
        </w:r>
      </w:hyperlink>
    </w:p>
  </w:endnote>
  <w:endnote w:id="9">
    <w:p w14:paraId="2D73908C" w14:textId="1B5D16F3" w:rsidR="00222A3A" w:rsidRPr="00853722" w:rsidRDefault="00222A3A" w:rsidP="763A2FC4">
      <w:pPr>
        <w:pStyle w:val="EndnoteText"/>
        <w:rPr>
          <w:rFonts w:ascii="Franklin Gothic Book" w:eastAsiaTheme="minorEastAsia" w:hAnsi="Franklin Gothic Book"/>
          <w:sz w:val="18"/>
          <w:szCs w:val="18"/>
        </w:rPr>
      </w:pPr>
      <w:r w:rsidRPr="00853722">
        <w:rPr>
          <w:rStyle w:val="EndnoteReference"/>
          <w:rFonts w:ascii="Franklin Gothic Book" w:eastAsiaTheme="minorEastAsia" w:hAnsi="Franklin Gothic Book"/>
          <w:sz w:val="18"/>
          <w:szCs w:val="18"/>
        </w:rPr>
        <w:endnoteRef/>
      </w:r>
      <w:r w:rsidRPr="00853722">
        <w:rPr>
          <w:rFonts w:ascii="Franklin Gothic Book" w:eastAsiaTheme="minorEastAsia" w:hAnsi="Franklin Gothic Book"/>
          <w:sz w:val="18"/>
          <w:szCs w:val="18"/>
        </w:rPr>
        <w:t xml:space="preserve"> Palar K, Sheira LA, Frongillo EA, et al. Food Is Medicine for Human Immunodeficiency Virus: Improved Health and Hospitalizations in the Changing Health Through Food Support (CHEFS-HIV) Pragmatic Randomized Trial. </w:t>
      </w:r>
      <w:r w:rsidRPr="00853722">
        <w:rPr>
          <w:rFonts w:ascii="Franklin Gothic Book" w:eastAsiaTheme="minorEastAsia" w:hAnsi="Franklin Gothic Book"/>
          <w:i/>
          <w:iCs/>
          <w:sz w:val="18"/>
          <w:szCs w:val="18"/>
        </w:rPr>
        <w:t>The Journal of Infectious Diseases</w:t>
      </w:r>
      <w:r w:rsidRPr="00853722">
        <w:rPr>
          <w:rFonts w:ascii="Franklin Gothic Book" w:eastAsiaTheme="minorEastAsia" w:hAnsi="Franklin Gothic Book"/>
          <w:sz w:val="18"/>
          <w:szCs w:val="18"/>
        </w:rPr>
        <w:t xml:space="preserve">. </w:t>
      </w:r>
      <w:proofErr w:type="gramStart"/>
      <w:r w:rsidRPr="00853722">
        <w:rPr>
          <w:rFonts w:ascii="Franklin Gothic Book" w:eastAsiaTheme="minorEastAsia" w:hAnsi="Franklin Gothic Book"/>
          <w:sz w:val="18"/>
          <w:szCs w:val="18"/>
        </w:rPr>
        <w:t>2024;doi</w:t>
      </w:r>
      <w:proofErr w:type="gramEnd"/>
      <w:r w:rsidRPr="00853722">
        <w:rPr>
          <w:rFonts w:ascii="Franklin Gothic Book" w:eastAsiaTheme="minorEastAsia" w:hAnsi="Franklin Gothic Book"/>
          <w:sz w:val="18"/>
          <w:szCs w:val="18"/>
        </w:rPr>
        <w:t>:10.1093/infdis/jiae195</w:t>
      </w:r>
    </w:p>
  </w:endnote>
  <w:endnote w:id="10">
    <w:p w14:paraId="770D668B" w14:textId="6A79880B" w:rsidR="7314A9F3" w:rsidRPr="00853722" w:rsidRDefault="7314A9F3" w:rsidP="7314A9F3">
      <w:pPr>
        <w:pStyle w:val="EndnoteText"/>
        <w:rPr>
          <w:rFonts w:ascii="Franklin Gothic Book" w:hAnsi="Franklin Gothic Book" w:cs="Times New Roman"/>
          <w:sz w:val="18"/>
          <w:szCs w:val="18"/>
        </w:rPr>
      </w:pPr>
      <w:r w:rsidRPr="00853722">
        <w:rPr>
          <w:rStyle w:val="EndnoteReference"/>
          <w:rFonts w:ascii="Franklin Gothic Book" w:hAnsi="Franklin Gothic Book" w:cs="Times New Roman"/>
          <w:sz w:val="18"/>
          <w:szCs w:val="18"/>
        </w:rPr>
        <w:endnoteRef/>
      </w:r>
      <w:r w:rsidRPr="00853722">
        <w:rPr>
          <w:rFonts w:ascii="Franklin Gothic Book" w:hAnsi="Franklin Gothic Book" w:cs="Times New Roman"/>
          <w:sz w:val="18"/>
          <w:szCs w:val="18"/>
        </w:rPr>
        <w:t xml:space="preserve"> Berkowitz SA, Terranova J, Hill C, Ajayi T, Linsky T, Tishler LW, DeWalt DA. Meal Delivery Programs Reduce </w:t>
      </w:r>
      <w:proofErr w:type="gramStart"/>
      <w:r w:rsidRPr="00853722">
        <w:rPr>
          <w:rFonts w:ascii="Franklin Gothic Book" w:hAnsi="Franklin Gothic Book" w:cs="Times New Roman"/>
          <w:sz w:val="18"/>
          <w:szCs w:val="18"/>
        </w:rPr>
        <w:t>The</w:t>
      </w:r>
      <w:proofErr w:type="gramEnd"/>
      <w:r w:rsidRPr="00853722">
        <w:rPr>
          <w:rFonts w:ascii="Franklin Gothic Book" w:hAnsi="Franklin Gothic Book" w:cs="Times New Roman"/>
          <w:sz w:val="18"/>
          <w:szCs w:val="18"/>
        </w:rPr>
        <w:t xml:space="preserve"> Use </w:t>
      </w:r>
      <w:proofErr w:type="gramStart"/>
      <w:r w:rsidRPr="00853722">
        <w:rPr>
          <w:rFonts w:ascii="Franklin Gothic Book" w:hAnsi="Franklin Gothic Book" w:cs="Times New Roman"/>
          <w:sz w:val="18"/>
          <w:szCs w:val="18"/>
        </w:rPr>
        <w:t>Of</w:t>
      </w:r>
      <w:proofErr w:type="gramEnd"/>
      <w:r w:rsidRPr="00853722">
        <w:rPr>
          <w:rFonts w:ascii="Franklin Gothic Book" w:hAnsi="Franklin Gothic Book" w:cs="Times New Roman"/>
          <w:sz w:val="18"/>
          <w:szCs w:val="18"/>
        </w:rPr>
        <w:t xml:space="preserve"> Costly Health Care </w:t>
      </w:r>
      <w:proofErr w:type="gramStart"/>
      <w:r w:rsidRPr="00853722">
        <w:rPr>
          <w:rFonts w:ascii="Franklin Gothic Book" w:hAnsi="Franklin Gothic Book" w:cs="Times New Roman"/>
          <w:sz w:val="18"/>
          <w:szCs w:val="18"/>
        </w:rPr>
        <w:t>In</w:t>
      </w:r>
      <w:proofErr w:type="gramEnd"/>
      <w:r w:rsidRPr="00853722">
        <w:rPr>
          <w:rFonts w:ascii="Franklin Gothic Book" w:hAnsi="Franklin Gothic Book" w:cs="Times New Roman"/>
          <w:sz w:val="18"/>
          <w:szCs w:val="18"/>
        </w:rPr>
        <w:t xml:space="preserve"> Dually Eligible Medicare </w:t>
      </w:r>
      <w:proofErr w:type="gramStart"/>
      <w:r w:rsidRPr="00853722">
        <w:rPr>
          <w:rFonts w:ascii="Franklin Gothic Book" w:hAnsi="Franklin Gothic Book" w:cs="Times New Roman"/>
          <w:sz w:val="18"/>
          <w:szCs w:val="18"/>
        </w:rPr>
        <w:t>And</w:t>
      </w:r>
      <w:proofErr w:type="gramEnd"/>
      <w:r w:rsidRPr="00853722">
        <w:rPr>
          <w:rFonts w:ascii="Franklin Gothic Book" w:hAnsi="Franklin Gothic Book" w:cs="Times New Roman"/>
          <w:sz w:val="18"/>
          <w:szCs w:val="18"/>
        </w:rPr>
        <w:t xml:space="preserve"> Medicaid Beneficiaries. Health Aff (Millwood). 2018 Apr;37(4):535-542. doi: 10.1377/hlthaff.2017.0999. PMID: 29608345; PMCID: PMC6324546.</w:t>
      </w:r>
      <w:r w:rsidRPr="00853722">
        <w:rPr>
          <w:rFonts w:ascii="Franklin Gothic Book" w:hAnsi="Franklin Gothic Book"/>
          <w:sz w:val="18"/>
          <w:szCs w:val="18"/>
        </w:rPr>
        <w:t xml:space="preserve"> </w:t>
      </w:r>
      <w:hyperlink r:id="rId8">
        <w:r w:rsidRPr="00853722">
          <w:rPr>
            <w:rStyle w:val="Hyperlink"/>
            <w:rFonts w:ascii="Franklin Gothic Book" w:hAnsi="Franklin Gothic Book" w:cs="Times New Roman"/>
            <w:sz w:val="18"/>
            <w:szCs w:val="18"/>
          </w:rPr>
          <w:t>https://pubmed.ncbi.nlm.nih.gov/29608345/</w:t>
        </w:r>
      </w:hyperlink>
      <w:r w:rsidRPr="00853722">
        <w:rPr>
          <w:rFonts w:ascii="Franklin Gothic Book" w:hAnsi="Franklin Gothic Book" w:cs="Times New Roman"/>
          <w:sz w:val="18"/>
          <w:szCs w:val="18"/>
        </w:rPr>
        <w:t xml:space="preserve"> </w:t>
      </w:r>
    </w:p>
  </w:endnote>
  <w:endnote w:id="11">
    <w:p w14:paraId="72AEEDFF" w14:textId="37216F5B" w:rsidR="00222A3A" w:rsidRPr="00853722" w:rsidRDefault="00222A3A">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Tapper EB, Baki J, Nikirk S, Hummel S, Asrani SK, Lok AS. Medically tailored meals for the management of symptomatic ascites: the SALTYFOOD pilot randomized clinical trial. Gastroenterology Report. 2020;8(6):453-456. doi:10.1093/gastro/goaa</w:t>
      </w:r>
      <w:proofErr w:type="gramStart"/>
      <w:r w:rsidRPr="00853722">
        <w:rPr>
          <w:rFonts w:ascii="Franklin Gothic Book" w:hAnsi="Franklin Gothic Book"/>
          <w:sz w:val="18"/>
          <w:szCs w:val="18"/>
        </w:rPr>
        <w:t>059 .</w:t>
      </w:r>
      <w:proofErr w:type="gramEnd"/>
    </w:p>
  </w:endnote>
  <w:endnote w:id="12">
    <w:p w14:paraId="1098335A" w14:textId="033E2D68" w:rsidR="00F1094A" w:rsidRPr="00853722" w:rsidRDefault="00F1094A" w:rsidP="007828F3">
      <w:pPr>
        <w:pStyle w:val="EndnoteText"/>
        <w:rPr>
          <w:rFonts w:ascii="Franklin Gothic Book" w:hAnsi="Franklin Gothic Book" w:cs="Times New Roman"/>
          <w:sz w:val="18"/>
          <w:szCs w:val="18"/>
        </w:rPr>
      </w:pPr>
      <w:r w:rsidRPr="00853722">
        <w:rPr>
          <w:rStyle w:val="EndnoteReference"/>
          <w:rFonts w:ascii="Franklin Gothic Book" w:hAnsi="Franklin Gothic Book" w:cs="Times New Roman"/>
          <w:sz w:val="18"/>
          <w:szCs w:val="18"/>
        </w:rPr>
        <w:endnoteRef/>
      </w:r>
      <w:r w:rsidRPr="00853722">
        <w:rPr>
          <w:rFonts w:ascii="Franklin Gothic Book" w:hAnsi="Franklin Gothic Book" w:cs="Times New Roman"/>
          <w:sz w:val="18"/>
          <w:szCs w:val="18"/>
        </w:rPr>
        <w:t xml:space="preserve"> Berkowitz SA, Terranova J, Randall L, Cranston K, Waters DB, Hsu J. Association Between Receipt of a Medically Tailored Meal Program and Health Care Use. </w:t>
      </w:r>
      <w:r w:rsidRPr="00853722">
        <w:rPr>
          <w:rFonts w:ascii="Franklin Gothic Book" w:hAnsi="Franklin Gothic Book" w:cs="Times New Roman"/>
          <w:i/>
          <w:iCs/>
          <w:sz w:val="18"/>
          <w:szCs w:val="18"/>
        </w:rPr>
        <w:t>JAMA Intern Med.</w:t>
      </w:r>
      <w:r w:rsidRPr="00853722">
        <w:rPr>
          <w:rFonts w:ascii="Franklin Gothic Book" w:hAnsi="Franklin Gothic Book" w:cs="Times New Roman"/>
          <w:sz w:val="18"/>
          <w:szCs w:val="18"/>
        </w:rPr>
        <w:t> 2019;179(6):786–793. doi:10.1001/jamainternmed.2019.0198</w:t>
      </w:r>
      <w:r w:rsidR="00F90547" w:rsidRPr="00853722">
        <w:rPr>
          <w:rFonts w:ascii="Franklin Gothic Book" w:hAnsi="Franklin Gothic Book" w:cs="Times New Roman"/>
          <w:sz w:val="18"/>
          <w:szCs w:val="18"/>
        </w:rPr>
        <w:t xml:space="preserve">. </w:t>
      </w:r>
      <w:hyperlink r:id="rId9">
        <w:r w:rsidR="12B15671" w:rsidRPr="00853722">
          <w:rPr>
            <w:rStyle w:val="Hyperlink"/>
            <w:rFonts w:ascii="Franklin Gothic Book" w:hAnsi="Franklin Gothic Book" w:cs="Times New Roman"/>
            <w:sz w:val="18"/>
            <w:szCs w:val="18"/>
          </w:rPr>
          <w:t>https://jamanetwork.com/journals/jamainternalmedicine/fullarticle/2730768</w:t>
        </w:r>
      </w:hyperlink>
      <w:r w:rsidR="12B15671" w:rsidRPr="00853722">
        <w:rPr>
          <w:rFonts w:ascii="Franklin Gothic Book" w:hAnsi="Franklin Gothic Book" w:cs="Times New Roman"/>
          <w:sz w:val="18"/>
          <w:szCs w:val="18"/>
        </w:rPr>
        <w:t xml:space="preserve">. </w:t>
      </w:r>
    </w:p>
  </w:endnote>
  <w:endnote w:id="13">
    <w:p w14:paraId="74247FB1" w14:textId="20021800" w:rsidR="00222A3A" w:rsidRPr="00853722" w:rsidRDefault="00F1094A" w:rsidP="007828F3">
      <w:pPr>
        <w:pStyle w:val="EndnoteText"/>
        <w:rPr>
          <w:rFonts w:ascii="Franklin Gothic Book" w:hAnsi="Franklin Gothic Book"/>
          <w:sz w:val="18"/>
          <w:szCs w:val="18"/>
        </w:rPr>
      </w:pPr>
      <w:r w:rsidRPr="00853722">
        <w:rPr>
          <w:rStyle w:val="EndnoteReference"/>
          <w:rFonts w:ascii="Franklin Gothic Book" w:hAnsi="Franklin Gothic Book" w:cs="Times New Roman"/>
          <w:sz w:val="18"/>
          <w:szCs w:val="18"/>
        </w:rPr>
        <w:endnoteRef/>
      </w:r>
      <w:r w:rsidRPr="00853722">
        <w:rPr>
          <w:rFonts w:ascii="Franklin Gothic Book" w:hAnsi="Franklin Gothic Book" w:cs="Times New Roman"/>
          <w:sz w:val="18"/>
          <w:szCs w:val="18"/>
        </w:rPr>
        <w:t xml:space="preserve"> </w:t>
      </w:r>
      <w:r w:rsidR="00222A3A" w:rsidRPr="00853722">
        <w:rPr>
          <w:rFonts w:ascii="Franklin Gothic Book" w:hAnsi="Franklin Gothic Book" w:cs="Times New Roman"/>
          <w:sz w:val="18"/>
          <w:szCs w:val="18"/>
        </w:rPr>
        <w:t xml:space="preserve">Hager K, Cudhea FP, Wong JB, et al. Association of National Expansion of Insurance Coverage of Medically Tailored Meals </w:t>
      </w:r>
      <w:proofErr w:type="gramStart"/>
      <w:r w:rsidR="00222A3A" w:rsidRPr="00853722">
        <w:rPr>
          <w:rFonts w:ascii="Franklin Gothic Book" w:hAnsi="Franklin Gothic Book" w:cs="Times New Roman"/>
          <w:sz w:val="18"/>
          <w:szCs w:val="18"/>
        </w:rPr>
        <w:t>With</w:t>
      </w:r>
      <w:proofErr w:type="gramEnd"/>
      <w:r w:rsidR="00222A3A" w:rsidRPr="00853722">
        <w:rPr>
          <w:rFonts w:ascii="Franklin Gothic Book" w:hAnsi="Franklin Gothic Book" w:cs="Times New Roman"/>
          <w:sz w:val="18"/>
          <w:szCs w:val="18"/>
        </w:rPr>
        <w:t xml:space="preserve"> Estimated Hospitalizations and Health Care Expenditures in the US. JAMA Netw Open. 2022;5(10</w:t>
      </w:r>
      <w:proofErr w:type="gramStart"/>
      <w:r w:rsidR="00222A3A" w:rsidRPr="00853722">
        <w:rPr>
          <w:rFonts w:ascii="Franklin Gothic Book" w:hAnsi="Franklin Gothic Book" w:cs="Times New Roman"/>
          <w:sz w:val="18"/>
          <w:szCs w:val="18"/>
        </w:rPr>
        <w:t>):e</w:t>
      </w:r>
      <w:proofErr w:type="gramEnd"/>
      <w:r w:rsidR="00222A3A" w:rsidRPr="00853722">
        <w:rPr>
          <w:rFonts w:ascii="Franklin Gothic Book" w:hAnsi="Franklin Gothic Book" w:cs="Times New Roman"/>
          <w:sz w:val="18"/>
          <w:szCs w:val="18"/>
        </w:rPr>
        <w:t xml:space="preserve">2236898. doi:10.1001/jamanetworkopen.2022.36898; </w:t>
      </w:r>
      <w:r w:rsidR="00222A3A" w:rsidRPr="00853722">
        <w:rPr>
          <w:rFonts w:ascii="Franklin Gothic Book" w:hAnsi="Franklin Gothic Book" w:cs="Times New Roman"/>
          <w:i/>
          <w:iCs/>
          <w:sz w:val="18"/>
          <w:szCs w:val="18"/>
        </w:rPr>
        <w:t xml:space="preserve">see also </w:t>
      </w:r>
      <w:r w:rsidR="12B15671" w:rsidRPr="00853722">
        <w:rPr>
          <w:rFonts w:ascii="Franklin Gothic Book" w:hAnsi="Franklin Gothic Book" w:cs="Times New Roman"/>
          <w:sz w:val="18"/>
          <w:szCs w:val="18"/>
        </w:rPr>
        <w:t xml:space="preserve">Deng S, Hager K, Wang L, et al. Estimated Impact </w:t>
      </w:r>
      <w:proofErr w:type="gramStart"/>
      <w:r w:rsidR="12B15671" w:rsidRPr="00853722">
        <w:rPr>
          <w:rFonts w:ascii="Franklin Gothic Book" w:hAnsi="Franklin Gothic Book" w:cs="Times New Roman"/>
          <w:sz w:val="18"/>
          <w:szCs w:val="18"/>
        </w:rPr>
        <w:t>Of</w:t>
      </w:r>
      <w:proofErr w:type="gramEnd"/>
      <w:r w:rsidR="12B15671" w:rsidRPr="00853722">
        <w:rPr>
          <w:rFonts w:ascii="Franklin Gothic Book" w:hAnsi="Franklin Gothic Book" w:cs="Times New Roman"/>
          <w:sz w:val="18"/>
          <w:szCs w:val="18"/>
        </w:rPr>
        <w:t xml:space="preserve"> Medically Tailored Meals On Health Care Use </w:t>
      </w:r>
      <w:proofErr w:type="gramStart"/>
      <w:r w:rsidR="12B15671" w:rsidRPr="00853722">
        <w:rPr>
          <w:rFonts w:ascii="Franklin Gothic Book" w:hAnsi="Franklin Gothic Book" w:cs="Times New Roman"/>
          <w:sz w:val="18"/>
          <w:szCs w:val="18"/>
        </w:rPr>
        <w:t>And</w:t>
      </w:r>
      <w:proofErr w:type="gramEnd"/>
      <w:r w:rsidR="12B15671" w:rsidRPr="00853722">
        <w:rPr>
          <w:rFonts w:ascii="Franklin Gothic Book" w:hAnsi="Franklin Gothic Book" w:cs="Times New Roman"/>
          <w:sz w:val="18"/>
          <w:szCs w:val="18"/>
        </w:rPr>
        <w:t xml:space="preserve"> Expenditures In 50 US States. Health Aff (Millwood). 2025;44(4):433-442. doi:10.1377/hlthaff.2024.01307.</w:t>
      </w:r>
    </w:p>
  </w:endnote>
  <w:endnote w:id="14">
    <w:p w14:paraId="7F0F777E" w14:textId="515C86D7" w:rsidR="00124D07" w:rsidRPr="00853722" w:rsidRDefault="00124D07" w:rsidP="00124D07">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Hager et al. Medicaid Nutrition Supports Associated </w:t>
      </w:r>
      <w:proofErr w:type="gramStart"/>
      <w:r w:rsidRPr="00853722">
        <w:rPr>
          <w:rFonts w:ascii="Franklin Gothic Book" w:hAnsi="Franklin Gothic Book"/>
          <w:sz w:val="18"/>
          <w:szCs w:val="18"/>
        </w:rPr>
        <w:t>With</w:t>
      </w:r>
      <w:proofErr w:type="gramEnd"/>
      <w:r w:rsidRPr="00853722">
        <w:rPr>
          <w:rFonts w:ascii="Franklin Gothic Book" w:hAnsi="Franklin Gothic Book"/>
          <w:sz w:val="18"/>
          <w:szCs w:val="18"/>
        </w:rPr>
        <w:t xml:space="preserve"> Reductions </w:t>
      </w:r>
      <w:proofErr w:type="gramStart"/>
      <w:r w:rsidRPr="00853722">
        <w:rPr>
          <w:rFonts w:ascii="Franklin Gothic Book" w:hAnsi="Franklin Gothic Book"/>
          <w:sz w:val="18"/>
          <w:szCs w:val="18"/>
        </w:rPr>
        <w:t>In</w:t>
      </w:r>
      <w:proofErr w:type="gramEnd"/>
      <w:r w:rsidRPr="00853722">
        <w:rPr>
          <w:rFonts w:ascii="Franklin Gothic Book" w:hAnsi="Franklin Gothic Book"/>
          <w:sz w:val="18"/>
          <w:szCs w:val="18"/>
        </w:rPr>
        <w:t xml:space="preserve"> Hospitalizations </w:t>
      </w:r>
      <w:proofErr w:type="gramStart"/>
      <w:r w:rsidRPr="00853722">
        <w:rPr>
          <w:rFonts w:ascii="Franklin Gothic Book" w:hAnsi="Franklin Gothic Book"/>
          <w:sz w:val="18"/>
          <w:szCs w:val="18"/>
        </w:rPr>
        <w:t>And</w:t>
      </w:r>
      <w:proofErr w:type="gramEnd"/>
      <w:r w:rsidRPr="00853722">
        <w:rPr>
          <w:rFonts w:ascii="Franklin Gothic Book" w:hAnsi="Franklin Gothic Book"/>
          <w:sz w:val="18"/>
          <w:szCs w:val="18"/>
        </w:rPr>
        <w:t xml:space="preserve"> ED Visits </w:t>
      </w:r>
      <w:proofErr w:type="gramStart"/>
      <w:r w:rsidRPr="00853722">
        <w:rPr>
          <w:rFonts w:ascii="Franklin Gothic Book" w:hAnsi="Franklin Gothic Book"/>
          <w:sz w:val="18"/>
          <w:szCs w:val="18"/>
        </w:rPr>
        <w:t>In</w:t>
      </w:r>
      <w:proofErr w:type="gramEnd"/>
      <w:r w:rsidRPr="00853722">
        <w:rPr>
          <w:rFonts w:ascii="Franklin Gothic Book" w:hAnsi="Franklin Gothic Book"/>
          <w:sz w:val="18"/>
          <w:szCs w:val="18"/>
        </w:rPr>
        <w:t xml:space="preserve"> Massachusetts, 2020–23. </w:t>
      </w:r>
      <w:r w:rsidRPr="00853722">
        <w:rPr>
          <w:rFonts w:ascii="Franklin Gothic Book" w:hAnsi="Franklin Gothic Book" w:cs="Times New Roman"/>
          <w:sz w:val="18"/>
          <w:szCs w:val="18"/>
        </w:rPr>
        <w:t xml:space="preserve">Health Aff (Millwood). 2025;44(4):413-421. </w:t>
      </w:r>
      <w:hyperlink r:id="rId10" w:history="1">
        <w:r w:rsidRPr="00853722">
          <w:rPr>
            <w:rStyle w:val="Hyperlink"/>
            <w:rFonts w:ascii="Franklin Gothic Book" w:hAnsi="Franklin Gothic Book"/>
            <w:sz w:val="18"/>
            <w:szCs w:val="18"/>
          </w:rPr>
          <w:t>https://doi.org/10.1377/hlthaff.2024.01409</w:t>
        </w:r>
      </w:hyperlink>
      <w:r w:rsidRPr="00853722">
        <w:rPr>
          <w:rFonts w:ascii="Franklin Gothic Book" w:hAnsi="Franklin Gothic Book"/>
          <w:sz w:val="18"/>
          <w:szCs w:val="18"/>
        </w:rPr>
        <w:t xml:space="preserve"> </w:t>
      </w:r>
    </w:p>
  </w:endnote>
  <w:endnote w:id="15">
    <w:p w14:paraId="738562B3" w14:textId="77777777" w:rsidR="00124D07" w:rsidRPr="00853722" w:rsidRDefault="00124D07" w:rsidP="00085122">
      <w:pPr>
        <w:pStyle w:val="EndnoteText"/>
        <w:rPr>
          <w:rFonts w:ascii="Franklin Gothic Book" w:hAnsi="Franklin Gothic Book"/>
          <w:sz w:val="18"/>
          <w:szCs w:val="18"/>
        </w:rPr>
      </w:pPr>
      <w:r w:rsidRPr="00853722">
        <w:rPr>
          <w:rStyle w:val="EndnoteReference"/>
          <w:rFonts w:ascii="Franklin Gothic Book" w:hAnsi="Franklin Gothic Book" w:cs="Times New Roman"/>
          <w:sz w:val="18"/>
          <w:szCs w:val="18"/>
        </w:rPr>
        <w:endnoteRef/>
      </w:r>
      <w:r w:rsidRPr="00853722">
        <w:rPr>
          <w:rFonts w:ascii="Franklin Gothic Book" w:hAnsi="Franklin Gothic Book" w:cs="Times New Roman"/>
          <w:sz w:val="18"/>
          <w:szCs w:val="18"/>
        </w:rPr>
        <w:t xml:space="preserve"> Berkowitz SA, Archibald J, Yu Z, et al. Medicaid Spending and Health-Related Social Needs in the North Carolina Healthy Opportunities Pilots Program. </w:t>
      </w:r>
      <w:r w:rsidRPr="00853722">
        <w:rPr>
          <w:rFonts w:ascii="Franklin Gothic Book" w:hAnsi="Franklin Gothic Book" w:cs="Times New Roman"/>
          <w:i/>
          <w:iCs/>
          <w:sz w:val="18"/>
          <w:szCs w:val="18"/>
        </w:rPr>
        <w:t>JAMA.</w:t>
      </w:r>
      <w:r w:rsidRPr="00853722">
        <w:rPr>
          <w:rFonts w:ascii="Franklin Gothic Book" w:hAnsi="Franklin Gothic Book" w:cs="Times New Roman"/>
          <w:sz w:val="18"/>
          <w:szCs w:val="18"/>
        </w:rPr>
        <w:t> 2025;333(12):1041–1050. doi:10.1001/jama.2025.1042</w:t>
      </w:r>
    </w:p>
  </w:endnote>
  <w:endnote w:id="16">
    <w:p w14:paraId="32BE52FD" w14:textId="42D3F4DE" w:rsidR="00205B39" w:rsidRPr="00853722" w:rsidRDefault="00205B39" w:rsidP="007828F3">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00987DD7" w:rsidRPr="00853722">
        <w:rPr>
          <w:rFonts w:ascii="Franklin Gothic Book" w:hAnsi="Franklin Gothic Book"/>
          <w:i/>
          <w:iCs/>
          <w:sz w:val="18"/>
          <w:szCs w:val="18"/>
        </w:rPr>
        <w:t xml:space="preserve">See </w:t>
      </w:r>
      <w:r w:rsidR="004D04C9" w:rsidRPr="00853722">
        <w:rPr>
          <w:rFonts w:ascii="Franklin Gothic Book" w:hAnsi="Franklin Gothic Book"/>
          <w:sz w:val="18"/>
          <w:szCs w:val="18"/>
        </w:rPr>
        <w:t>42 U.S.C. § 1395w-22(a)(3)</w:t>
      </w:r>
      <w:r w:rsidR="000C4B53" w:rsidRPr="00853722">
        <w:rPr>
          <w:rFonts w:ascii="Franklin Gothic Book" w:hAnsi="Franklin Gothic Book"/>
          <w:sz w:val="18"/>
          <w:szCs w:val="18"/>
        </w:rPr>
        <w:t>; CMS Medicare Managed Care Manual, Chapter 4, Section 30.3 (2016)</w:t>
      </w:r>
      <w:r w:rsidR="000F6D1F" w:rsidRPr="00853722">
        <w:rPr>
          <w:rFonts w:ascii="Franklin Gothic Book" w:hAnsi="Franklin Gothic Book"/>
          <w:sz w:val="18"/>
          <w:szCs w:val="18"/>
        </w:rPr>
        <w:t xml:space="preserve">, </w:t>
      </w:r>
      <w:hyperlink r:id="rId11" w:history="1">
        <w:r w:rsidR="000F6D1F" w:rsidRPr="00853722">
          <w:rPr>
            <w:rStyle w:val="Hyperlink"/>
            <w:rFonts w:ascii="Franklin Gothic Book" w:hAnsi="Franklin Gothic Book"/>
            <w:sz w:val="18"/>
            <w:szCs w:val="18"/>
          </w:rPr>
          <w:t>https://www.cms.gov/regulations-and-guidance/guidance/manuals/downloads/mc86c04.pdf</w:t>
        </w:r>
      </w:hyperlink>
      <w:r w:rsidR="000F6D1F" w:rsidRPr="00853722">
        <w:rPr>
          <w:rFonts w:ascii="Franklin Gothic Book" w:hAnsi="Franklin Gothic Book"/>
          <w:sz w:val="18"/>
          <w:szCs w:val="18"/>
        </w:rPr>
        <w:t xml:space="preserve"> (describing coverage of meals as a supplemental benefit).</w:t>
      </w:r>
    </w:p>
  </w:endnote>
  <w:endnote w:id="17">
    <w:p w14:paraId="32E9208A" w14:textId="540B6AD1" w:rsidR="00987DD7" w:rsidRPr="00853722" w:rsidRDefault="00987DD7" w:rsidP="007828F3">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hAnsi="Franklin Gothic Book"/>
          <w:i/>
          <w:iCs/>
          <w:sz w:val="18"/>
          <w:szCs w:val="18"/>
        </w:rPr>
        <w:t>See</w:t>
      </w:r>
      <w:r w:rsidRPr="00853722">
        <w:rPr>
          <w:rFonts w:ascii="Franklin Gothic Book" w:hAnsi="Franklin Gothic Book"/>
          <w:sz w:val="18"/>
          <w:szCs w:val="18"/>
        </w:rPr>
        <w:t xml:space="preserve"> 42 U.S.C. § </w:t>
      </w:r>
      <w:r w:rsidR="007858EE" w:rsidRPr="00853722">
        <w:rPr>
          <w:rFonts w:ascii="Franklin Gothic Book" w:hAnsi="Franklin Gothic Book"/>
          <w:sz w:val="18"/>
          <w:szCs w:val="18"/>
        </w:rPr>
        <w:t>1395w-22(a)(3)(D)(ii)</w:t>
      </w:r>
      <w:r w:rsidR="000C4B53" w:rsidRPr="00853722">
        <w:rPr>
          <w:rFonts w:ascii="Franklin Gothic Book" w:hAnsi="Franklin Gothic Book"/>
          <w:sz w:val="18"/>
          <w:szCs w:val="18"/>
        </w:rPr>
        <w:t xml:space="preserve">; </w:t>
      </w:r>
      <w:r w:rsidR="005416C2" w:rsidRPr="00853722">
        <w:rPr>
          <w:rFonts w:ascii="Franklin Gothic Book" w:hAnsi="Franklin Gothic Book"/>
          <w:sz w:val="18"/>
          <w:szCs w:val="18"/>
        </w:rPr>
        <w:t xml:space="preserve">CMS HPMS Memo re: Implementing Supplemental Benefits for Chronically Ill Enrollees (Apr. 24, 2019), </w:t>
      </w:r>
      <w:hyperlink r:id="rId12" w:history="1">
        <w:r w:rsidR="00834D60" w:rsidRPr="00853722">
          <w:rPr>
            <w:rStyle w:val="Hyperlink"/>
            <w:rFonts w:ascii="Franklin Gothic Book" w:hAnsi="Franklin Gothic Book"/>
            <w:sz w:val="18"/>
            <w:szCs w:val="18"/>
          </w:rPr>
          <w:t>https://www.cms.gov/Medicare/Health-Plans/HealthPlansGenInfo/Downloads/Supplemental_Benefits_Chronically_Ill_HPMS_042419.pdf</w:t>
        </w:r>
      </w:hyperlink>
      <w:r w:rsidR="00834D60" w:rsidRPr="00853722">
        <w:rPr>
          <w:rFonts w:ascii="Franklin Gothic Book" w:hAnsi="Franklin Gothic Book"/>
          <w:sz w:val="18"/>
          <w:szCs w:val="18"/>
        </w:rPr>
        <w:t xml:space="preserve"> (describing coverage of meals </w:t>
      </w:r>
      <w:r w:rsidR="00917ECB" w:rsidRPr="00853722">
        <w:rPr>
          <w:rFonts w:ascii="Franklin Gothic Book" w:hAnsi="Franklin Gothic Book"/>
          <w:sz w:val="18"/>
          <w:szCs w:val="18"/>
        </w:rPr>
        <w:t>(beyond a limited basis) as an SSBCI).</w:t>
      </w:r>
    </w:p>
  </w:endnote>
  <w:endnote w:id="18">
    <w:p w14:paraId="4C75C36B" w14:textId="14106B85" w:rsidR="125C6173" w:rsidRDefault="125C6173" w:rsidP="125C6173">
      <w:pPr>
        <w:pStyle w:val="EndnoteText"/>
      </w:pPr>
      <w:r w:rsidRPr="125C6173">
        <w:rPr>
          <w:rStyle w:val="EndnoteReference"/>
        </w:rPr>
        <w:endnoteRef/>
      </w:r>
      <w:r>
        <w:t xml:space="preserve"> Nany Ochieng, et al., </w:t>
      </w:r>
      <w:r w:rsidRPr="125C6173">
        <w:rPr>
          <w:i/>
          <w:iCs/>
        </w:rPr>
        <w:t>Medicare Advantage in 2025: Enrollment Update and Key Trends</w:t>
      </w:r>
      <w:r w:rsidRPr="125C6173">
        <w:t xml:space="preserve">, Kaiser Family Foundation (Jul 28, 2025), </w:t>
      </w:r>
      <w:hyperlink r:id="rId13">
        <w:r w:rsidRPr="125C6173">
          <w:rPr>
            <w:rStyle w:val="Hyperlink"/>
          </w:rPr>
          <w:t>https://www.kff.org/medicare/medicare-advantage-enrollment-update-and-key-trends/</w:t>
        </w:r>
      </w:hyperlink>
      <w:r w:rsidRPr="125C6173">
        <w:t xml:space="preserve">. </w:t>
      </w:r>
    </w:p>
  </w:endnote>
  <w:endnote w:id="19">
    <w:p w14:paraId="16B1EE1A" w14:textId="7A862249" w:rsidR="00853722" w:rsidRPr="00853722" w:rsidRDefault="00853722">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hAnsi="Franklin Gothic Book" w:cs="Times New Roman"/>
          <w:sz w:val="18"/>
          <w:szCs w:val="18"/>
        </w:rPr>
        <w:t xml:space="preserve">Watson KB, Wiltz JL, Nhim K, Kaufmann RB, Thomas CW, Greenlund KJ. Trends in Multiple Chronic Conditions Among US Adults, By Life Stage, Behavioral Risk Factor Surveillance System, 2013–2023. Prev Chronic Dis </w:t>
      </w:r>
      <w:proofErr w:type="gramStart"/>
      <w:r w:rsidRPr="00853722">
        <w:rPr>
          <w:rFonts w:ascii="Franklin Gothic Book" w:hAnsi="Franklin Gothic Book" w:cs="Times New Roman"/>
          <w:sz w:val="18"/>
          <w:szCs w:val="18"/>
        </w:rPr>
        <w:t>2025;22:240539</w:t>
      </w:r>
      <w:proofErr w:type="gramEnd"/>
      <w:r w:rsidRPr="00853722">
        <w:rPr>
          <w:rFonts w:ascii="Franklin Gothic Book" w:hAnsi="Franklin Gothic Book" w:cs="Times New Roman"/>
          <w:sz w:val="18"/>
          <w:szCs w:val="18"/>
        </w:rPr>
        <w:t>. DOI: </w:t>
      </w:r>
      <w:hyperlink r:id="rId14" w:history="1">
        <w:r w:rsidRPr="00853722">
          <w:rPr>
            <w:rStyle w:val="Hyperlink"/>
            <w:rFonts w:ascii="Franklin Gothic Book" w:hAnsi="Franklin Gothic Book" w:cs="Times New Roman"/>
            <w:sz w:val="18"/>
            <w:szCs w:val="18"/>
          </w:rPr>
          <w:t>http://dx.doi.org/10.5888/pcd22.240539</w:t>
        </w:r>
      </w:hyperlink>
    </w:p>
  </w:endnote>
  <w:endnote w:id="20">
    <w:p w14:paraId="50B0587B" w14:textId="4AF5FADF" w:rsidR="12B15671" w:rsidRPr="00853722" w:rsidRDefault="12B15671" w:rsidP="763A2FC4">
      <w:pPr>
        <w:pStyle w:val="EndnoteText"/>
        <w:rPr>
          <w:rFonts w:ascii="Franklin Gothic Book" w:eastAsiaTheme="minorEastAsia" w:hAnsi="Franklin Gothic Book"/>
          <w:sz w:val="18"/>
          <w:szCs w:val="18"/>
        </w:rPr>
      </w:pPr>
      <w:r w:rsidRPr="00853722">
        <w:rPr>
          <w:rStyle w:val="EndnoteReference"/>
          <w:rFonts w:ascii="Franklin Gothic Book" w:eastAsiaTheme="minorEastAsia" w:hAnsi="Franklin Gothic Book"/>
          <w:sz w:val="18"/>
          <w:szCs w:val="18"/>
        </w:rPr>
        <w:endnoteRef/>
      </w:r>
      <w:r w:rsidRPr="00853722">
        <w:rPr>
          <w:rFonts w:ascii="Franklin Gothic Book" w:eastAsiaTheme="minorEastAsia" w:hAnsi="Franklin Gothic Book"/>
          <w:sz w:val="18"/>
          <w:szCs w:val="18"/>
        </w:rPr>
        <w:t xml:space="preserve"> </w:t>
      </w:r>
      <w:r w:rsidRPr="00853722">
        <w:rPr>
          <w:rFonts w:ascii="Franklin Gothic Book" w:eastAsiaTheme="minorEastAsia" w:hAnsi="Franklin Gothic Book"/>
          <w:i/>
          <w:iCs/>
          <w:sz w:val="18"/>
          <w:szCs w:val="18"/>
        </w:rPr>
        <w:t xml:space="preserve">See </w:t>
      </w:r>
      <w:r w:rsidRPr="00853722">
        <w:rPr>
          <w:rFonts w:ascii="Franklin Gothic Book" w:eastAsiaTheme="minorEastAsia" w:hAnsi="Franklin Gothic Book"/>
          <w:sz w:val="18"/>
          <w:szCs w:val="18"/>
        </w:rPr>
        <w:t xml:space="preserve">Gravity Project, </w:t>
      </w:r>
      <w:r w:rsidRPr="00853722">
        <w:rPr>
          <w:rFonts w:ascii="Franklin Gothic Book" w:eastAsiaTheme="minorEastAsia" w:hAnsi="Franklin Gothic Book"/>
          <w:i/>
          <w:iCs/>
          <w:sz w:val="18"/>
          <w:szCs w:val="18"/>
        </w:rPr>
        <w:t>Coding4Food HCPCS</w:t>
      </w:r>
      <w:r w:rsidRPr="00853722">
        <w:rPr>
          <w:rFonts w:ascii="Franklin Gothic Book" w:eastAsiaTheme="minorEastAsia" w:hAnsi="Franklin Gothic Book"/>
          <w:sz w:val="18"/>
          <w:szCs w:val="18"/>
        </w:rPr>
        <w:t xml:space="preserve"> (May 27, 2025), </w:t>
      </w:r>
      <w:hyperlink r:id="rId15">
        <w:r w:rsidRPr="00853722">
          <w:rPr>
            <w:rStyle w:val="Hyperlink"/>
            <w:rFonts w:ascii="Franklin Gothic Book" w:eastAsiaTheme="minorEastAsia" w:hAnsi="Franklin Gothic Book"/>
            <w:sz w:val="18"/>
            <w:szCs w:val="18"/>
          </w:rPr>
          <w:t>https://confluence.hl7.org/spaces/GRAV/pages/184932452/Coding4Food+HCPCS</w:t>
        </w:r>
      </w:hyperlink>
      <w:r w:rsidRPr="00853722">
        <w:rPr>
          <w:rFonts w:ascii="Franklin Gothic Book" w:eastAsiaTheme="minorEastAsia" w:hAnsi="Franklin Gothic Book"/>
          <w:sz w:val="18"/>
          <w:szCs w:val="18"/>
        </w:rPr>
        <w:t xml:space="preserve"> (providing the finalized submitted descriptions developed by the project).</w:t>
      </w:r>
    </w:p>
  </w:endnote>
  <w:endnote w:id="21">
    <w:p w14:paraId="014CDEDF" w14:textId="0CCCB4BD" w:rsidR="00731F89" w:rsidRPr="00853722" w:rsidRDefault="00731F89" w:rsidP="12B15671">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42 U.S.C.  </w:t>
      </w:r>
      <w:r w:rsidR="125C6173" w:rsidRPr="125C6173">
        <w:rPr>
          <w:rFonts w:ascii="Franklin Gothic Book" w:hAnsi="Franklin Gothic Book"/>
          <w:sz w:val="18"/>
          <w:szCs w:val="18"/>
        </w:rPr>
        <w:t xml:space="preserve">§ </w:t>
      </w:r>
      <w:r w:rsidRPr="00853722">
        <w:rPr>
          <w:rFonts w:ascii="Franklin Gothic Book" w:hAnsi="Franklin Gothic Book"/>
          <w:sz w:val="18"/>
          <w:szCs w:val="18"/>
        </w:rPr>
        <w:t xml:space="preserve">1395y(a)(1)(A); </w:t>
      </w:r>
      <w:r w:rsidRPr="125C6173">
        <w:rPr>
          <w:rFonts w:ascii="Franklin Gothic Book" w:hAnsi="Franklin Gothic Book"/>
          <w:i/>
          <w:iCs/>
          <w:sz w:val="18"/>
          <w:szCs w:val="18"/>
        </w:rPr>
        <w:t>see also</w:t>
      </w:r>
      <w:r w:rsidRPr="00853722">
        <w:rPr>
          <w:rFonts w:ascii="Franklin Gothic Book" w:hAnsi="Franklin Gothic Book"/>
          <w:sz w:val="18"/>
          <w:szCs w:val="18"/>
        </w:rPr>
        <w:t xml:space="preserve"> CMS, </w:t>
      </w:r>
      <w:r w:rsidRPr="125C6173">
        <w:rPr>
          <w:rFonts w:ascii="Franklin Gothic Book" w:hAnsi="Franklin Gothic Book"/>
          <w:i/>
          <w:iCs/>
          <w:sz w:val="18"/>
          <w:szCs w:val="18"/>
        </w:rPr>
        <w:t>Medicare Coverage Determination Process</w:t>
      </w:r>
      <w:r w:rsidRPr="00853722">
        <w:rPr>
          <w:rFonts w:ascii="Franklin Gothic Book" w:hAnsi="Franklin Gothic Book"/>
          <w:sz w:val="18"/>
          <w:szCs w:val="18"/>
        </w:rPr>
        <w:t xml:space="preserve">, </w:t>
      </w:r>
      <w:hyperlink r:id="rId16">
        <w:r w:rsidR="12B15671" w:rsidRPr="00853722">
          <w:rPr>
            <w:rStyle w:val="Hyperlink"/>
            <w:rFonts w:ascii="Franklin Gothic Book" w:hAnsi="Franklin Gothic Book"/>
            <w:sz w:val="18"/>
            <w:szCs w:val="18"/>
          </w:rPr>
          <w:t>https://www.cms.gov/medicare/coverage/determination-process</w:t>
        </w:r>
      </w:hyperlink>
      <w:r w:rsidR="12B15671" w:rsidRPr="00853722">
        <w:rPr>
          <w:rFonts w:ascii="Franklin Gothic Book" w:hAnsi="Franklin Gothic Book"/>
          <w:sz w:val="18"/>
          <w:szCs w:val="18"/>
        </w:rPr>
        <w:t xml:space="preserve"> (last visited Sept. 3, 2025).</w:t>
      </w:r>
    </w:p>
  </w:endnote>
  <w:endnote w:id="22">
    <w:p w14:paraId="32E75E44" w14:textId="55D945D6" w:rsidR="009F18DC" w:rsidRPr="00853722" w:rsidRDefault="009F18DC" w:rsidP="007828F3">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CMS Medicare Managed Care Manual, Chapter 4, Section 30.3 (2016), </w:t>
      </w:r>
      <w:hyperlink r:id="rId17" w:history="1">
        <w:r w:rsidRPr="00853722">
          <w:rPr>
            <w:rStyle w:val="Hyperlink"/>
            <w:rFonts w:ascii="Franklin Gothic Book" w:hAnsi="Franklin Gothic Book"/>
            <w:sz w:val="18"/>
            <w:szCs w:val="18"/>
          </w:rPr>
          <w:t>https://www.cms.gov/regulations-and-guidance/guidance/manuals/downloads/mc86c04.pdf</w:t>
        </w:r>
      </w:hyperlink>
      <w:r w:rsidRPr="00853722">
        <w:rPr>
          <w:rFonts w:ascii="Franklin Gothic Book" w:hAnsi="Franklin Gothic Book"/>
          <w:sz w:val="18"/>
          <w:szCs w:val="18"/>
        </w:rPr>
        <w:t xml:space="preserve"> (describing coverage of meals as a supplemental benefit).</w:t>
      </w:r>
    </w:p>
  </w:endnote>
  <w:endnote w:id="23">
    <w:p w14:paraId="4DBD4169" w14:textId="29F0AC62" w:rsidR="07D68AEC" w:rsidRPr="00853722" w:rsidRDefault="07D68AEC" w:rsidP="007828F3">
      <w:pPr>
        <w:pStyle w:val="EndnoteText"/>
        <w:rPr>
          <w:rFonts w:ascii="Franklin Gothic Book" w:eastAsiaTheme="minorEastAsia" w:hAnsi="Franklin Gothic Book"/>
          <w:sz w:val="18"/>
          <w:szCs w:val="18"/>
        </w:rPr>
      </w:pPr>
      <w:r w:rsidRPr="00853722">
        <w:rPr>
          <w:rStyle w:val="EndnoteReference"/>
          <w:rFonts w:ascii="Franklin Gothic Book" w:eastAsiaTheme="minorEastAsia" w:hAnsi="Franklin Gothic Book"/>
          <w:sz w:val="18"/>
          <w:szCs w:val="18"/>
        </w:rPr>
        <w:endnoteRef/>
      </w:r>
      <w:r w:rsidRPr="00853722">
        <w:rPr>
          <w:rFonts w:ascii="Franklin Gothic Book" w:eastAsiaTheme="minorEastAsia" w:hAnsi="Franklin Gothic Book"/>
          <w:sz w:val="18"/>
          <w:szCs w:val="18"/>
        </w:rPr>
        <w:t xml:space="preserve"> </w:t>
      </w:r>
      <w:r w:rsidRPr="00853722">
        <w:rPr>
          <w:rFonts w:ascii="Franklin Gothic Book" w:eastAsiaTheme="minorEastAsia" w:hAnsi="Franklin Gothic Book"/>
          <w:color w:val="333333"/>
          <w:sz w:val="18"/>
          <w:szCs w:val="18"/>
        </w:rPr>
        <w:t xml:space="preserve">AMA, Definitions of "Screening" and "Medical Necessity" H-320.953 (2023), </w:t>
      </w:r>
      <w:hyperlink r:id="rId18" w:history="1">
        <w:r w:rsidRPr="00853722">
          <w:rPr>
            <w:rStyle w:val="Hyperlink"/>
            <w:rFonts w:ascii="Franklin Gothic Book" w:eastAsia="Segoe UI" w:hAnsi="Franklin Gothic Book" w:cs="Segoe UI"/>
            <w:color w:val="0000EE"/>
            <w:sz w:val="18"/>
            <w:szCs w:val="18"/>
          </w:rPr>
          <w:t>https://policysearch.ama-assn.org/policyfinder/detail/H-320.953?uri=%2FAMADoc%2FHOD.xml-0-2625.xml</w:t>
        </w:r>
      </w:hyperlink>
      <w:r w:rsidRPr="00853722">
        <w:rPr>
          <w:rFonts w:ascii="Franklin Gothic Book" w:eastAsiaTheme="minorEastAsia" w:hAnsi="Franklin Gothic Book"/>
          <w:color w:val="333333"/>
          <w:sz w:val="18"/>
          <w:szCs w:val="18"/>
        </w:rPr>
        <w:t xml:space="preserve">. </w:t>
      </w:r>
      <w:r w:rsidRPr="00853722">
        <w:rPr>
          <w:rFonts w:ascii="Franklin Gothic Book" w:eastAsiaTheme="minorEastAsia" w:hAnsi="Franklin Gothic Book"/>
          <w:sz w:val="18"/>
          <w:szCs w:val="18"/>
        </w:rPr>
        <w:t xml:space="preserve"> </w:t>
      </w:r>
    </w:p>
  </w:endnote>
  <w:endnote w:id="24">
    <w:p w14:paraId="3FBE18A6" w14:textId="2029F6F0" w:rsidR="07D68AEC" w:rsidRPr="00853722" w:rsidRDefault="07D68AEC" w:rsidP="007828F3">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eastAsia="Aptos" w:hAnsi="Franklin Gothic Book" w:cs="Aptos"/>
          <w:color w:val="000000" w:themeColor="text1"/>
          <w:sz w:val="18"/>
          <w:szCs w:val="18"/>
        </w:rPr>
        <w:t xml:space="preserve">For general information on evidence review and classification/rating, see, e.g., </w:t>
      </w:r>
      <w:hyperlink r:id="rId19" w:history="1">
        <w:r w:rsidRPr="00853722">
          <w:rPr>
            <w:rStyle w:val="Hyperlink"/>
            <w:rFonts w:ascii="Franklin Gothic Book" w:eastAsia="Aptos" w:hAnsi="Franklin Gothic Book" w:cs="Aptos"/>
            <w:sz w:val="18"/>
            <w:szCs w:val="18"/>
          </w:rPr>
          <w:t>https://professional.heart.org/-/media/phd-files/guidelines-and-statements/methodology_manual_and_policies_ucm_319826.pdf</w:t>
        </w:r>
      </w:hyperlink>
      <w:r w:rsidRPr="00853722">
        <w:rPr>
          <w:rFonts w:ascii="Franklin Gothic Book" w:eastAsia="Aptos" w:hAnsi="Franklin Gothic Book" w:cs="Aptos"/>
          <w:color w:val="000000" w:themeColor="text1"/>
          <w:sz w:val="18"/>
          <w:szCs w:val="18"/>
        </w:rPr>
        <w:t xml:space="preserve"> at 39-43; </w:t>
      </w:r>
      <w:hyperlink r:id="rId20" w:history="1">
        <w:r w:rsidRPr="00853722">
          <w:rPr>
            <w:rStyle w:val="Hyperlink"/>
            <w:rFonts w:ascii="Franklin Gothic Book" w:eastAsia="Aptos" w:hAnsi="Franklin Gothic Book" w:cs="Aptos"/>
            <w:sz w:val="18"/>
            <w:szCs w:val="18"/>
          </w:rPr>
          <w:t>https://www.uspreventiveservicestaskforce.org/uspstf/about-uspstf/methods-and-processes/procedure-manual/procedure-manual-section-4-evidence-review-development</w:t>
        </w:r>
      </w:hyperlink>
      <w:r w:rsidRPr="00853722">
        <w:rPr>
          <w:rFonts w:ascii="Franklin Gothic Book" w:eastAsia="Aptos" w:hAnsi="Franklin Gothic Book" w:cs="Aptos"/>
          <w:color w:val="000000" w:themeColor="text1"/>
          <w:sz w:val="18"/>
          <w:szCs w:val="18"/>
        </w:rPr>
        <w:t xml:space="preserve">; </w:t>
      </w:r>
      <w:hyperlink r:id="rId21" w:history="1">
        <w:r w:rsidRPr="00853722">
          <w:rPr>
            <w:rStyle w:val="Hyperlink"/>
            <w:rFonts w:ascii="Franklin Gothic Book" w:eastAsia="Aptos" w:hAnsi="Franklin Gothic Book" w:cs="Aptos"/>
            <w:sz w:val="18"/>
            <w:szCs w:val="18"/>
          </w:rPr>
          <w:t>https://www.uspreventiveservicestaskforce.org/uspstf/sites/default/files/inline-files/Clinical%20Practice%20Guidelines%202011%20Insert_0.pdf</w:t>
        </w:r>
      </w:hyperlink>
      <w:r w:rsidRPr="00853722">
        <w:rPr>
          <w:rFonts w:ascii="Franklin Gothic Book" w:eastAsia="Aptos" w:hAnsi="Franklin Gothic Book" w:cs="Aptos"/>
          <w:color w:val="000000" w:themeColor="text1"/>
          <w:sz w:val="18"/>
          <w:szCs w:val="18"/>
        </w:rPr>
        <w:t xml:space="preserve">. </w:t>
      </w:r>
      <w:r w:rsidRPr="00853722">
        <w:rPr>
          <w:rFonts w:ascii="Franklin Gothic Book" w:hAnsi="Franklin Gothic Book"/>
          <w:sz w:val="18"/>
          <w:szCs w:val="18"/>
        </w:rPr>
        <w:t xml:space="preserve"> </w:t>
      </w:r>
    </w:p>
  </w:endnote>
  <w:endnote w:id="25">
    <w:p w14:paraId="32492C85" w14:textId="3A306A3D" w:rsidR="007D43EB" w:rsidRPr="00853722" w:rsidRDefault="007D43EB" w:rsidP="007828F3">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00062F0B" w:rsidRPr="00853722">
        <w:rPr>
          <w:rFonts w:ascii="Franklin Gothic Book" w:hAnsi="Franklin Gothic Book"/>
          <w:sz w:val="18"/>
          <w:szCs w:val="18"/>
        </w:rPr>
        <w:t xml:space="preserve">42 U.S.C. </w:t>
      </w:r>
      <w:r w:rsidR="009B49CF" w:rsidRPr="00853722">
        <w:rPr>
          <w:rFonts w:ascii="Franklin Gothic Book" w:hAnsi="Franklin Gothic Book"/>
          <w:sz w:val="18"/>
          <w:szCs w:val="18"/>
        </w:rPr>
        <w:t xml:space="preserve">§ 1395x; </w:t>
      </w:r>
      <w:r w:rsidR="00980783" w:rsidRPr="00853722">
        <w:rPr>
          <w:rFonts w:ascii="Franklin Gothic Book" w:hAnsi="Franklin Gothic Book"/>
          <w:sz w:val="18"/>
          <w:szCs w:val="18"/>
        </w:rPr>
        <w:t>CMS, Medicare Benefit Policy Manual, Chapter 15</w:t>
      </w:r>
      <w:r w:rsidR="00626656" w:rsidRPr="00853722">
        <w:rPr>
          <w:rFonts w:ascii="Franklin Gothic Book" w:hAnsi="Franklin Gothic Book"/>
          <w:sz w:val="18"/>
          <w:szCs w:val="18"/>
        </w:rPr>
        <w:t xml:space="preserve"> Section 60 (</w:t>
      </w:r>
      <w:r w:rsidR="005850EB" w:rsidRPr="00853722">
        <w:rPr>
          <w:rFonts w:ascii="Franklin Gothic Book" w:hAnsi="Franklin Gothic Book"/>
          <w:sz w:val="18"/>
          <w:szCs w:val="18"/>
        </w:rPr>
        <w:t xml:space="preserve">2024), </w:t>
      </w:r>
      <w:hyperlink r:id="rId22" w:history="1">
        <w:r w:rsidR="005850EB" w:rsidRPr="00853722">
          <w:rPr>
            <w:rStyle w:val="Hyperlink"/>
            <w:rFonts w:ascii="Franklin Gothic Book" w:hAnsi="Franklin Gothic Book"/>
            <w:sz w:val="18"/>
            <w:szCs w:val="18"/>
          </w:rPr>
          <w:t>https://www.cms.gov/regulations-and-guidance/guidance/manuals/downloads/bp102c15.pdf</w:t>
        </w:r>
      </w:hyperlink>
      <w:r w:rsidR="005850EB" w:rsidRPr="00853722">
        <w:rPr>
          <w:rFonts w:ascii="Franklin Gothic Book" w:hAnsi="Franklin Gothic Book"/>
          <w:sz w:val="18"/>
          <w:szCs w:val="18"/>
        </w:rPr>
        <w:t xml:space="preserve">. </w:t>
      </w:r>
    </w:p>
  </w:endnote>
  <w:endnote w:id="26">
    <w:p w14:paraId="4D661DFC" w14:textId="26332470" w:rsidR="006A26BF" w:rsidRPr="00853722" w:rsidRDefault="006A26BF" w:rsidP="007828F3">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00CE7449" w:rsidRPr="00853722">
        <w:rPr>
          <w:rFonts w:ascii="Franklin Gothic Book" w:hAnsi="Franklin Gothic Book"/>
          <w:sz w:val="18"/>
          <w:szCs w:val="18"/>
        </w:rPr>
        <w:t>42 U.S.C. §</w:t>
      </w:r>
      <w:r w:rsidR="00036D81" w:rsidRPr="00853722">
        <w:rPr>
          <w:rFonts w:ascii="Franklin Gothic Book" w:hAnsi="Franklin Gothic Book"/>
          <w:sz w:val="18"/>
          <w:szCs w:val="18"/>
        </w:rPr>
        <w:t xml:space="preserve"> 1395x(vv</w:t>
      </w:r>
      <w:proofErr w:type="gramStart"/>
      <w:r w:rsidR="00036D81" w:rsidRPr="00853722">
        <w:rPr>
          <w:rFonts w:ascii="Franklin Gothic Book" w:hAnsi="Franklin Gothic Book"/>
          <w:sz w:val="18"/>
          <w:szCs w:val="18"/>
        </w:rPr>
        <w:t>)(</w:t>
      </w:r>
      <w:proofErr w:type="gramEnd"/>
      <w:r w:rsidR="00036D81" w:rsidRPr="00853722">
        <w:rPr>
          <w:rFonts w:ascii="Franklin Gothic Book" w:hAnsi="Franklin Gothic Book"/>
          <w:sz w:val="18"/>
          <w:szCs w:val="18"/>
        </w:rPr>
        <w:t>1).</w:t>
      </w:r>
    </w:p>
  </w:endnote>
  <w:endnote w:id="27">
    <w:p w14:paraId="6B8CD841" w14:textId="42468924" w:rsidR="001C7A7E" w:rsidRPr="00853722" w:rsidRDefault="001C7A7E" w:rsidP="007828F3">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00943B68" w:rsidRPr="00853722">
        <w:rPr>
          <w:rFonts w:ascii="Franklin Gothic Book" w:hAnsi="Franklin Gothic Book"/>
          <w:sz w:val="18"/>
          <w:szCs w:val="18"/>
        </w:rPr>
        <w:t xml:space="preserve">CMS, </w:t>
      </w:r>
      <w:r w:rsidR="00843B73" w:rsidRPr="00853722">
        <w:rPr>
          <w:rFonts w:ascii="Franklin Gothic Book" w:hAnsi="Franklin Gothic Book"/>
          <w:sz w:val="18"/>
          <w:szCs w:val="18"/>
        </w:rPr>
        <w:t>Medicare Benefit Policy Manual, Chapter 15 Section</w:t>
      </w:r>
      <w:r w:rsidR="00A87A15" w:rsidRPr="00853722">
        <w:rPr>
          <w:rFonts w:ascii="Franklin Gothic Book" w:hAnsi="Franklin Gothic Book"/>
          <w:sz w:val="18"/>
          <w:szCs w:val="18"/>
        </w:rPr>
        <w:t xml:space="preserve"> 300.</w:t>
      </w:r>
      <w:r w:rsidR="00E03E79" w:rsidRPr="00853722">
        <w:rPr>
          <w:rFonts w:ascii="Franklin Gothic Book" w:hAnsi="Franklin Gothic Book"/>
          <w:sz w:val="18"/>
          <w:szCs w:val="18"/>
        </w:rPr>
        <w:t xml:space="preserve">2 (2009), </w:t>
      </w:r>
      <w:hyperlink r:id="rId23" w:history="1">
        <w:r w:rsidR="00AA47FC" w:rsidRPr="00853722">
          <w:rPr>
            <w:rStyle w:val="Hyperlink"/>
            <w:rFonts w:ascii="Franklin Gothic Book" w:hAnsi="Franklin Gothic Book"/>
            <w:sz w:val="18"/>
            <w:szCs w:val="18"/>
          </w:rPr>
          <w:t>https://www.cms.gov/regulations-and-guidance/guidance/manuals/downloads/bp102c15.pdf</w:t>
        </w:r>
      </w:hyperlink>
      <w:r w:rsidR="00AA47FC" w:rsidRPr="00853722">
        <w:rPr>
          <w:rFonts w:ascii="Franklin Gothic Book" w:hAnsi="Franklin Gothic Book"/>
          <w:sz w:val="18"/>
          <w:szCs w:val="18"/>
        </w:rPr>
        <w:t xml:space="preserve">. </w:t>
      </w:r>
    </w:p>
  </w:endnote>
  <w:endnote w:id="28">
    <w:p w14:paraId="4B3D509D" w14:textId="3CF24F62" w:rsidR="07D68AEC" w:rsidRPr="00853722" w:rsidRDefault="07D68AEC" w:rsidP="007828F3">
      <w:pPr>
        <w:pStyle w:val="EndnoteText"/>
        <w:rPr>
          <w:rFonts w:ascii="Franklin Gothic Book" w:eastAsia="Aptos" w:hAnsi="Franklin Gothic Book" w:cs="Aptos"/>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eastAsia="Aptos" w:hAnsi="Franklin Gothic Book" w:cs="Aptos"/>
          <w:sz w:val="18"/>
          <w:szCs w:val="18"/>
        </w:rPr>
        <w:t>Medicare and Medicaid Programs; CY 2025 Payment Policies Under the Physician Fee Schedule and Other Changes to Part B Payment and Coverage Policies; Medicare Shared Savings Program Requirements; Medicare Prescription Drug Inflation Rebate Program; and Medicare Overpayments,  89 Fed. Reg. 97710, 97819 (Dec. 9, 2024).</w:t>
      </w:r>
    </w:p>
  </w:endnote>
  <w:endnote w:id="29">
    <w:p w14:paraId="17006192" w14:textId="0740CE05" w:rsidR="12B15671" w:rsidRPr="00853722" w:rsidRDefault="12B15671" w:rsidP="12B15671">
      <w:pPr>
        <w:pStyle w:val="EndnoteText"/>
        <w:spacing w:after="160" w:line="276" w:lineRule="auto"/>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125C6173">
        <w:rPr>
          <w:rFonts w:ascii="Franklin Gothic Book" w:hAnsi="Franklin Gothic Book"/>
          <w:i/>
          <w:iCs/>
          <w:sz w:val="18"/>
          <w:szCs w:val="18"/>
        </w:rPr>
        <w:t>See</w:t>
      </w:r>
      <w:r w:rsidRPr="00853722">
        <w:rPr>
          <w:rFonts w:ascii="Franklin Gothic Book" w:eastAsia="Aptos" w:hAnsi="Franklin Gothic Book" w:cs="Aptos"/>
          <w:sz w:val="18"/>
          <w:szCs w:val="18"/>
        </w:rPr>
        <w:t xml:space="preserve"> </w:t>
      </w:r>
      <w:r w:rsidRPr="00853722">
        <w:rPr>
          <w:rFonts w:ascii="Franklin Gothic Book" w:hAnsi="Franklin Gothic Book"/>
          <w:sz w:val="18"/>
          <w:szCs w:val="18"/>
        </w:rPr>
        <w:t xml:space="preserve">42 C.F.R. </w:t>
      </w:r>
      <w:r w:rsidR="125C6173" w:rsidRPr="125C6173">
        <w:rPr>
          <w:rFonts w:ascii="Franklin Gothic Book" w:eastAsia="Aptos" w:hAnsi="Franklin Gothic Book" w:cs="Aptos"/>
          <w:sz w:val="18"/>
          <w:szCs w:val="18"/>
        </w:rPr>
        <w:t>§</w:t>
      </w:r>
      <w:r w:rsidRPr="00853722">
        <w:rPr>
          <w:rFonts w:ascii="Franklin Gothic Book" w:hAnsi="Franklin Gothic Book"/>
          <w:sz w:val="18"/>
          <w:szCs w:val="18"/>
        </w:rPr>
        <w:t xml:space="preserve"> 410.130, 132.</w:t>
      </w:r>
    </w:p>
  </w:endnote>
  <w:endnote w:id="30">
    <w:p w14:paraId="34A0566D" w14:textId="430553B5" w:rsidR="07D68AEC" w:rsidRPr="00853722" w:rsidRDefault="07D68AEC" w:rsidP="007828F3">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hAnsi="Franklin Gothic Book"/>
          <w:i/>
          <w:iCs/>
          <w:sz w:val="18"/>
          <w:szCs w:val="18"/>
        </w:rPr>
        <w:t>See</w:t>
      </w:r>
      <w:r w:rsidRPr="00853722">
        <w:rPr>
          <w:rFonts w:ascii="Franklin Gothic Book" w:hAnsi="Franklin Gothic Book"/>
          <w:sz w:val="18"/>
          <w:szCs w:val="18"/>
        </w:rPr>
        <w:t xml:space="preserve"> CMS, Medicare Benefit Policy Manual, Chapter 15 Section 300.2 (2009), </w:t>
      </w:r>
      <w:hyperlink r:id="rId24">
        <w:r w:rsidRPr="00853722">
          <w:rPr>
            <w:rStyle w:val="Hyperlink"/>
            <w:rFonts w:ascii="Franklin Gothic Book" w:hAnsi="Franklin Gothic Book"/>
            <w:sz w:val="18"/>
            <w:szCs w:val="18"/>
          </w:rPr>
          <w:t>https://www.cms.gov/regulations-and-guidance/guidance/manuals/downloads/bp102c15.pdf</w:t>
        </w:r>
      </w:hyperlink>
      <w:r w:rsidRPr="00853722">
        <w:rPr>
          <w:rFonts w:ascii="Franklin Gothic Book" w:hAnsi="Franklin Gothic Book"/>
          <w:sz w:val="18"/>
          <w:szCs w:val="18"/>
        </w:rPr>
        <w:t>.</w:t>
      </w:r>
    </w:p>
  </w:endnote>
  <w:endnote w:id="31">
    <w:p w14:paraId="422A5A2D" w14:textId="14CF5A5F" w:rsidR="07D68AEC" w:rsidRPr="00853722" w:rsidRDefault="07D68AEC" w:rsidP="007828F3">
      <w:pPr>
        <w:pStyle w:val="EndnoteText"/>
        <w:rPr>
          <w:rFonts w:ascii="Franklin Gothic Book" w:eastAsia="Aptos" w:hAnsi="Franklin Gothic Book" w:cs="Aptos"/>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eastAsia="Aptos" w:hAnsi="Franklin Gothic Book" w:cs="Aptos"/>
          <w:sz w:val="18"/>
          <w:szCs w:val="18"/>
        </w:rPr>
        <w:t>Medicare and Medicaid Programs; CY 2025 Payment Policies Under the Physician Fee Schedule and Other Changes to Part B Payment and Coverage Policies; Medicare Shared Savings Program Requirements; Medicare Prescription Drug Inflation Rebate Program; and Medicare Overpayments,  89 Fed. Reg. 97710, 97819 (Dec. 9, 2024).</w:t>
      </w:r>
    </w:p>
  </w:endnote>
  <w:endnote w:id="32">
    <w:p w14:paraId="0E44D6D9" w14:textId="6E3374DC" w:rsidR="07D68AEC" w:rsidRPr="00853722" w:rsidRDefault="07D68AEC" w:rsidP="007828F3">
      <w:pPr>
        <w:pStyle w:val="EndnoteText"/>
        <w:rPr>
          <w:rFonts w:ascii="Franklin Gothic Book" w:hAnsi="Franklin Gothic Book"/>
          <w:i/>
          <w:iCs/>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hAnsi="Franklin Gothic Book"/>
          <w:i/>
          <w:iCs/>
          <w:sz w:val="18"/>
          <w:szCs w:val="18"/>
        </w:rPr>
        <w:t>Id.</w:t>
      </w:r>
    </w:p>
  </w:endnote>
  <w:endnote w:id="33">
    <w:p w14:paraId="13501533" w14:textId="5AB80F08" w:rsidR="07D68AEC" w:rsidRPr="00853722" w:rsidRDefault="07D68AEC" w:rsidP="007828F3">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42 C.F.R. § 410.26 (a)(3).</w:t>
      </w:r>
    </w:p>
  </w:endnote>
  <w:endnote w:id="34">
    <w:p w14:paraId="73242FA7" w14:textId="311879B9" w:rsidR="5A081114" w:rsidRPr="00853722" w:rsidRDefault="5A081114" w:rsidP="002876C7">
      <w:pPr>
        <w:pStyle w:val="EndnoteText"/>
        <w:rPr>
          <w:rFonts w:ascii="Franklin Gothic Book" w:eastAsia="Aptos" w:hAnsi="Franklin Gothic Book" w:cs="Aptos"/>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0E0CD42A" w:rsidRPr="00853722">
        <w:rPr>
          <w:rFonts w:ascii="Franklin Gothic Book" w:eastAsia="Aptos" w:hAnsi="Franklin Gothic Book" w:cs="Aptos"/>
          <w:sz w:val="18"/>
          <w:szCs w:val="18"/>
        </w:rPr>
        <w:t>Medicare and Medicaid Programs; CY 2024 Payment Policies Under the Physician Fee Schedule and Other Changes to Part B Payment and Coverage Policies; Medicare Shared Savings Program Requirements; Medicare Advantage; Medicare and Medicaid Provider and Supplier Enrollment Policies; and Basic Health Program, 88 Fed. Reg. 78818, 78947 (Nov. 16, 2023).</w:t>
      </w:r>
    </w:p>
  </w:endnote>
  <w:endnote w:id="35">
    <w:p w14:paraId="36B42273" w14:textId="0EEF1C18" w:rsidR="5A081114" w:rsidRPr="002876C7" w:rsidRDefault="5A081114" w:rsidP="002876C7">
      <w:pPr>
        <w:pStyle w:val="EndnoteText"/>
        <w:rPr>
          <w:rFonts w:ascii="Franklin Gothic Book" w:hAnsi="Franklin Gothic Book"/>
          <w:i/>
          <w:iCs/>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hAnsi="Franklin Gothic Book"/>
          <w:i/>
          <w:iCs/>
          <w:sz w:val="18"/>
          <w:szCs w:val="18"/>
        </w:rPr>
        <w:t>Id.</w:t>
      </w:r>
    </w:p>
  </w:endnote>
  <w:endnote w:id="36">
    <w:p w14:paraId="0E80BC27" w14:textId="3B75A5DC" w:rsidR="5A081114" w:rsidRPr="002876C7" w:rsidRDefault="5A081114" w:rsidP="002876C7">
      <w:pPr>
        <w:pStyle w:val="EndnoteText"/>
        <w:rPr>
          <w:rFonts w:ascii="Franklin Gothic Book" w:hAnsi="Franklin Gothic Book"/>
          <w:i/>
          <w:iCs/>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hAnsi="Franklin Gothic Book"/>
          <w:i/>
          <w:iCs/>
          <w:sz w:val="18"/>
          <w:szCs w:val="18"/>
        </w:rPr>
        <w:t>Id.</w:t>
      </w:r>
    </w:p>
  </w:endnote>
  <w:endnote w:id="37">
    <w:p w14:paraId="73DD012A" w14:textId="6882949B" w:rsidR="07D68AEC" w:rsidRPr="00853722" w:rsidRDefault="07D68AEC" w:rsidP="007828F3">
      <w:pPr>
        <w:pStyle w:val="EndnoteText"/>
        <w:rPr>
          <w:rFonts w:ascii="Franklin Gothic Book" w:eastAsiaTheme="minorEastAsia" w:hAnsi="Franklin Gothic Book"/>
          <w:sz w:val="18"/>
          <w:szCs w:val="18"/>
        </w:rPr>
      </w:pPr>
      <w:r w:rsidRPr="00853722">
        <w:rPr>
          <w:rStyle w:val="EndnoteReference"/>
          <w:rFonts w:ascii="Franklin Gothic Book" w:eastAsiaTheme="minorEastAsia" w:hAnsi="Franklin Gothic Book"/>
          <w:sz w:val="18"/>
          <w:szCs w:val="18"/>
        </w:rPr>
        <w:endnoteRef/>
      </w:r>
      <w:r w:rsidRPr="00853722">
        <w:rPr>
          <w:rFonts w:ascii="Franklin Gothic Book" w:eastAsiaTheme="minorEastAsia" w:hAnsi="Franklin Gothic Book"/>
          <w:sz w:val="18"/>
          <w:szCs w:val="18"/>
        </w:rPr>
        <w:t xml:space="preserve"> </w:t>
      </w:r>
      <w:r w:rsidRPr="00853722">
        <w:rPr>
          <w:rFonts w:ascii="Franklin Gothic Book" w:eastAsiaTheme="minorEastAsia" w:hAnsi="Franklin Gothic Book"/>
          <w:color w:val="202020"/>
          <w:sz w:val="18"/>
          <w:szCs w:val="18"/>
        </w:rPr>
        <w:t>Ozoor M, Gritz M, Dolor RJ, Holtrop JS, Luo Z (2023) Primary care provider uptake of intensive behavioral therapy for obesity in Medicare patients, 2013–2019. PLoS ONE 18(3): e0266217. https://doi.org/10.1371/journal.pone.0266217</w:t>
      </w:r>
    </w:p>
  </w:endnote>
  <w:endnote w:id="38">
    <w:p w14:paraId="52F3C302" w14:textId="7B207517" w:rsidR="003E55AC" w:rsidRPr="00853722" w:rsidRDefault="003E55AC" w:rsidP="007828F3">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hAnsi="Franklin Gothic Book"/>
          <w:i/>
          <w:iCs/>
          <w:sz w:val="18"/>
          <w:szCs w:val="18"/>
        </w:rPr>
        <w:t>See, e.g.,</w:t>
      </w:r>
      <w:r w:rsidRPr="00853722">
        <w:rPr>
          <w:rFonts w:ascii="Franklin Gothic Book" w:hAnsi="Franklin Gothic Book"/>
          <w:sz w:val="18"/>
          <w:szCs w:val="18"/>
        </w:rPr>
        <w:t xml:space="preserve"> </w:t>
      </w:r>
      <w:hyperlink r:id="rId25" w:history="1">
        <w:r w:rsidRPr="00853722">
          <w:rPr>
            <w:rStyle w:val="Hyperlink"/>
            <w:rFonts w:ascii="Franklin Gothic Book" w:hAnsi="Franklin Gothic Book"/>
            <w:sz w:val="18"/>
            <w:szCs w:val="18"/>
          </w:rPr>
          <w:t>Estimated Impact Of Medically Tailored Meals On Health Care Use And Expenditures In 50 US States</w:t>
        </w:r>
      </w:hyperlink>
      <w:r w:rsidRPr="00853722">
        <w:rPr>
          <w:rFonts w:ascii="Franklin Gothic Book" w:hAnsi="Franklin Gothic Book"/>
          <w:sz w:val="18"/>
          <w:szCs w:val="18"/>
        </w:rPr>
        <w:t xml:space="preserve"> Shuyue Deng, Kurt Hager, Lu Wang, Frederick P. Cudhea, John B. Wong, David D. Kim, and Dariush Mozaffarian Health Affairs 2025 44:4, 433-442</w:t>
      </w:r>
      <w:r w:rsidR="07D68AEC" w:rsidRPr="00853722">
        <w:rPr>
          <w:rFonts w:ascii="Franklin Gothic Book" w:hAnsi="Franklin Gothic Book"/>
          <w:sz w:val="18"/>
          <w:szCs w:val="18"/>
        </w:rPr>
        <w:t>.</w:t>
      </w:r>
    </w:p>
  </w:endnote>
  <w:endnote w:id="39">
    <w:p w14:paraId="5737FE27" w14:textId="7D15D9A8" w:rsidR="003E55AC" w:rsidRPr="00853722" w:rsidRDefault="003E55AC" w:rsidP="007828F3">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hAnsi="Franklin Gothic Book"/>
          <w:i/>
          <w:iCs/>
          <w:sz w:val="18"/>
          <w:szCs w:val="18"/>
        </w:rPr>
        <w:t>See, e.g.</w:t>
      </w:r>
      <w:r w:rsidRPr="00853722">
        <w:rPr>
          <w:rFonts w:ascii="Franklin Gothic Book" w:hAnsi="Franklin Gothic Book"/>
          <w:sz w:val="18"/>
          <w:szCs w:val="18"/>
        </w:rPr>
        <w:t xml:space="preserve">, MassHealth, HRSN Supplemental Services Fee Schedule (2025), </w:t>
      </w:r>
      <w:hyperlink r:id="rId26" w:history="1">
        <w:r w:rsidRPr="00853722">
          <w:rPr>
            <w:rStyle w:val="Hyperlink"/>
            <w:rFonts w:ascii="Franklin Gothic Book" w:hAnsi="Franklin Gothic Book"/>
            <w:sz w:val="18"/>
            <w:szCs w:val="18"/>
          </w:rPr>
          <w:t>https://www.mass.gov/doc/hrsn-supplemental-services-fee-schedule-3/download</w:t>
        </w:r>
      </w:hyperlink>
      <w:r w:rsidR="07D68AEC" w:rsidRPr="00853722">
        <w:rPr>
          <w:rFonts w:ascii="Franklin Gothic Book" w:hAnsi="Franklin Gothic Book"/>
          <w:sz w:val="18"/>
          <w:szCs w:val="18"/>
        </w:rPr>
        <w:t xml:space="preserve">. </w:t>
      </w:r>
    </w:p>
  </w:endnote>
  <w:endnote w:id="40">
    <w:p w14:paraId="03D212FE" w14:textId="0E1AF9C1" w:rsidR="003E4829" w:rsidRPr="00853722" w:rsidRDefault="003E4829" w:rsidP="007828F3">
      <w:pPr>
        <w:pStyle w:val="EndnoteText"/>
        <w:rPr>
          <w:rFonts w:ascii="Franklin Gothic Book" w:hAnsi="Franklin Gothic Book"/>
          <w:sz w:val="18"/>
          <w:szCs w:val="18"/>
        </w:rPr>
      </w:pPr>
      <w:r w:rsidRPr="00853722">
        <w:rPr>
          <w:rStyle w:val="EndnoteReference"/>
          <w:rFonts w:ascii="Franklin Gothic Book" w:hAnsi="Franklin Gothic Book"/>
          <w:sz w:val="18"/>
          <w:szCs w:val="18"/>
        </w:rPr>
        <w:endnoteRef/>
      </w:r>
      <w:r w:rsidRPr="00853722">
        <w:rPr>
          <w:rFonts w:ascii="Franklin Gothic Book" w:hAnsi="Franklin Gothic Book"/>
          <w:sz w:val="18"/>
          <w:szCs w:val="18"/>
        </w:rPr>
        <w:t xml:space="preserve"> </w:t>
      </w:r>
      <w:r w:rsidRPr="00853722">
        <w:rPr>
          <w:rFonts w:ascii="Franklin Gothic Book" w:hAnsi="Franklin Gothic Book"/>
          <w:i/>
          <w:iCs/>
          <w:sz w:val="18"/>
          <w:szCs w:val="18"/>
        </w:rPr>
        <w:t>See, e.g.</w:t>
      </w:r>
      <w:r w:rsidRPr="00853722">
        <w:rPr>
          <w:rFonts w:ascii="Franklin Gothic Book" w:hAnsi="Franklin Gothic Book"/>
          <w:sz w:val="18"/>
          <w:szCs w:val="18"/>
        </w:rPr>
        <w:t xml:space="preserve">, Kurt Hager et al., </w:t>
      </w:r>
      <w:r w:rsidRPr="00853722">
        <w:rPr>
          <w:rFonts w:ascii="Franklin Gothic Book" w:hAnsi="Franklin Gothic Book"/>
          <w:i/>
          <w:iCs/>
          <w:sz w:val="18"/>
          <w:szCs w:val="18"/>
        </w:rPr>
        <w:t>Food is Medicine Research Action Plan</w:t>
      </w:r>
      <w:r w:rsidRPr="00853722">
        <w:rPr>
          <w:rFonts w:ascii="Franklin Gothic Book" w:hAnsi="Franklin Gothic Book"/>
          <w:sz w:val="18"/>
          <w:szCs w:val="18"/>
        </w:rPr>
        <w:t xml:space="preserve">, Food &amp; Society at the Aspen Institute (2024), </w:t>
      </w:r>
      <w:hyperlink r:id="rId27" w:history="1">
        <w:r w:rsidRPr="00853722">
          <w:rPr>
            <w:rStyle w:val="Hyperlink"/>
            <w:rFonts w:ascii="Franklin Gothic Book" w:hAnsi="Franklin Gothic Book"/>
            <w:sz w:val="18"/>
            <w:szCs w:val="18"/>
          </w:rPr>
          <w:t>https://aspenfood.org/wp-content/uploads/2024/04/Food-is-Medicine-Action-Plan-2024-Final.pdf</w:t>
        </w:r>
      </w:hyperlink>
      <w:r w:rsidRPr="00853722">
        <w:rPr>
          <w:rFonts w:ascii="Franklin Gothic Book" w:hAnsi="Franklin Gothic Book"/>
          <w:sz w:val="18"/>
          <w:szCs w:val="18"/>
        </w:rPr>
        <w:t xml:space="preserve">; </w:t>
      </w:r>
      <w:hyperlink r:id="rId28" w:history="1">
        <w:r w:rsidRPr="00853722">
          <w:rPr>
            <w:rStyle w:val="Hyperlink"/>
            <w:rFonts w:ascii="Franklin Gothic Book" w:hAnsi="Franklin Gothic Book"/>
            <w:sz w:val="18"/>
            <w:szCs w:val="18"/>
          </w:rPr>
          <w:t>What Is ‘Food Is Medicine,’ Really? Policy Considerations On The Road To Health Care Coverage;</w:t>
        </w:r>
      </w:hyperlink>
      <w:r w:rsidR="763A2FC4" w:rsidRPr="00853722">
        <w:rPr>
          <w:rFonts w:ascii="Franklin Gothic Book" w:hAnsi="Franklin Gothic Book"/>
          <w:sz w:val="18"/>
          <w:szCs w:val="18"/>
        </w:rPr>
        <w:t xml:space="preserve"> Colin M. Schwartz, Alexa M. Wohrman, Emily J. Holubowich, Lisa D. Sanders, and Kevin G. Volpp Health Affairs 2025 44:4, 406-412; Mozaffarian, D, Aspry, K, Garfield, K. et al. “Food Is Medicine” Strategies for Nutrition Security and Cardiometabolic Health Equity: JACC State-of-the-Art Review. JACC. 2024 Feb, 83 (8) 843–864. </w:t>
      </w:r>
      <w:hyperlink r:id="rId29">
        <w:r w:rsidR="763A2FC4" w:rsidRPr="00853722">
          <w:rPr>
            <w:rStyle w:val="Hyperlink"/>
            <w:rFonts w:ascii="Franklin Gothic Book" w:hAnsi="Franklin Gothic Book"/>
            <w:sz w:val="18"/>
            <w:szCs w:val="18"/>
          </w:rPr>
          <w:t>https://doi.org/10.1016/j.jacc.2023.12.023</w:t>
        </w:r>
      </w:hyperlink>
      <w:r w:rsidR="763A2FC4" w:rsidRPr="00853722">
        <w:rPr>
          <w:rFonts w:ascii="Franklin Gothic Book" w:hAnsi="Franklin Gothic Book"/>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raphik Regular">
    <w:altName w:val="Calibri"/>
    <w:charset w:val="00"/>
    <w:family w:val="auto"/>
    <w:pitch w:val="default"/>
  </w:font>
  <w:font w:name="Franklin Gothic Boo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5FBB" w14:textId="77777777" w:rsidR="00A76E51" w:rsidRDefault="00A76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268937"/>
      <w:docPartObj>
        <w:docPartGallery w:val="Page Numbers (Bottom of Page)"/>
        <w:docPartUnique/>
      </w:docPartObj>
    </w:sdtPr>
    <w:sdtEndPr>
      <w:rPr>
        <w:noProof/>
      </w:rPr>
    </w:sdtEndPr>
    <w:sdtContent>
      <w:p w14:paraId="5271C5A6" w14:textId="7664A598" w:rsidR="00AD1F0C" w:rsidRDefault="00AD1F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3C3F35" w14:textId="50CFE42F" w:rsidR="007828F3" w:rsidRPr="007828F3" w:rsidRDefault="007828F3">
    <w:pPr>
      <w:pStyle w:val="Foo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4A1E" w14:textId="77777777" w:rsidR="00A76E51" w:rsidRDefault="00A76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22BD0" w14:textId="77777777" w:rsidR="00A922C7" w:rsidRDefault="00A922C7" w:rsidP="00205B39">
      <w:pPr>
        <w:spacing w:after="0" w:line="240" w:lineRule="auto"/>
      </w:pPr>
      <w:r>
        <w:separator/>
      </w:r>
    </w:p>
  </w:footnote>
  <w:footnote w:type="continuationSeparator" w:id="0">
    <w:p w14:paraId="62B65492" w14:textId="77777777" w:rsidR="00A922C7" w:rsidRDefault="00A922C7" w:rsidP="00205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3A86" w14:textId="7B7149B7" w:rsidR="00A76E51" w:rsidRDefault="00FF6576">
    <w:pPr>
      <w:pStyle w:val="Header"/>
    </w:pPr>
    <w:r>
      <w:rPr>
        <w:noProof/>
      </w:rPr>
      <w:pict w14:anchorId="20411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2985" o:spid="_x0000_s1026"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1DA71" w14:textId="26E09BB8" w:rsidR="007828F3" w:rsidRDefault="00FF6576">
    <w:pPr>
      <w:pStyle w:val="Header"/>
    </w:pPr>
    <w:r>
      <w:rPr>
        <w:noProof/>
      </w:rPr>
      <w:pict w14:anchorId="0F360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2986" o:spid="_x0000_s1027"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E2C7" w14:textId="4675D9D2" w:rsidR="00A76E51" w:rsidRDefault="00FF6576">
    <w:pPr>
      <w:pStyle w:val="Header"/>
    </w:pPr>
    <w:r>
      <w:rPr>
        <w:noProof/>
      </w:rPr>
      <w:pict w14:anchorId="423A0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842984" o:spid="_x0000_s1025"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7D27E"/>
    <w:multiLevelType w:val="hybridMultilevel"/>
    <w:tmpl w:val="2C7CE5A6"/>
    <w:lvl w:ilvl="0" w:tplc="B49AFBA0">
      <w:start w:val="1"/>
      <w:numFmt w:val="lowerLetter"/>
      <w:lvlText w:val="%1."/>
      <w:lvlJc w:val="left"/>
      <w:pPr>
        <w:ind w:left="720" w:hanging="360"/>
      </w:pPr>
    </w:lvl>
    <w:lvl w:ilvl="1" w:tplc="E12E3C00">
      <w:start w:val="1"/>
      <w:numFmt w:val="lowerLetter"/>
      <w:lvlText w:val="%2."/>
      <w:lvlJc w:val="left"/>
      <w:pPr>
        <w:ind w:left="1440" w:hanging="360"/>
      </w:pPr>
    </w:lvl>
    <w:lvl w:ilvl="2" w:tplc="2A9ADBAE">
      <w:start w:val="1"/>
      <w:numFmt w:val="lowerRoman"/>
      <w:lvlText w:val="%3."/>
      <w:lvlJc w:val="right"/>
      <w:pPr>
        <w:ind w:left="2160" w:hanging="180"/>
      </w:pPr>
    </w:lvl>
    <w:lvl w:ilvl="3" w:tplc="391A1C84">
      <w:start w:val="1"/>
      <w:numFmt w:val="decimal"/>
      <w:lvlText w:val="%4."/>
      <w:lvlJc w:val="left"/>
      <w:pPr>
        <w:ind w:left="2880" w:hanging="360"/>
      </w:pPr>
    </w:lvl>
    <w:lvl w:ilvl="4" w:tplc="40EE5B9E">
      <w:start w:val="1"/>
      <w:numFmt w:val="lowerLetter"/>
      <w:lvlText w:val="%5."/>
      <w:lvlJc w:val="left"/>
      <w:pPr>
        <w:ind w:left="3600" w:hanging="360"/>
      </w:pPr>
    </w:lvl>
    <w:lvl w:ilvl="5" w:tplc="14A45DF0">
      <w:start w:val="1"/>
      <w:numFmt w:val="lowerRoman"/>
      <w:lvlText w:val="%6."/>
      <w:lvlJc w:val="right"/>
      <w:pPr>
        <w:ind w:left="4320" w:hanging="180"/>
      </w:pPr>
    </w:lvl>
    <w:lvl w:ilvl="6" w:tplc="362EF450">
      <w:start w:val="1"/>
      <w:numFmt w:val="decimal"/>
      <w:lvlText w:val="%7."/>
      <w:lvlJc w:val="left"/>
      <w:pPr>
        <w:ind w:left="5040" w:hanging="360"/>
      </w:pPr>
    </w:lvl>
    <w:lvl w:ilvl="7" w:tplc="472485E6">
      <w:start w:val="1"/>
      <w:numFmt w:val="lowerLetter"/>
      <w:lvlText w:val="%8."/>
      <w:lvlJc w:val="left"/>
      <w:pPr>
        <w:ind w:left="5760" w:hanging="360"/>
      </w:pPr>
    </w:lvl>
    <w:lvl w:ilvl="8" w:tplc="64FED56C">
      <w:start w:val="1"/>
      <w:numFmt w:val="lowerRoman"/>
      <w:lvlText w:val="%9."/>
      <w:lvlJc w:val="right"/>
      <w:pPr>
        <w:ind w:left="6480" w:hanging="180"/>
      </w:pPr>
    </w:lvl>
  </w:abstractNum>
  <w:abstractNum w:abstractNumId="1" w15:restartNumberingAfterBreak="0">
    <w:nsid w:val="09F77F85"/>
    <w:multiLevelType w:val="multilevel"/>
    <w:tmpl w:val="AC8058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7D731A"/>
    <w:multiLevelType w:val="hybridMultilevel"/>
    <w:tmpl w:val="D95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FF9AC"/>
    <w:multiLevelType w:val="hybridMultilevel"/>
    <w:tmpl w:val="D0F248DA"/>
    <w:lvl w:ilvl="0" w:tplc="4746BB00">
      <w:start w:val="1"/>
      <w:numFmt w:val="bullet"/>
      <w:lvlText w:val=""/>
      <w:lvlJc w:val="left"/>
      <w:pPr>
        <w:ind w:left="720" w:hanging="360"/>
      </w:pPr>
      <w:rPr>
        <w:rFonts w:ascii="Symbol" w:hAnsi="Symbol" w:hint="default"/>
      </w:rPr>
    </w:lvl>
    <w:lvl w:ilvl="1" w:tplc="89585D3E">
      <w:start w:val="1"/>
      <w:numFmt w:val="bullet"/>
      <w:lvlText w:val="o"/>
      <w:lvlJc w:val="left"/>
      <w:pPr>
        <w:ind w:left="1440" w:hanging="360"/>
      </w:pPr>
      <w:rPr>
        <w:rFonts w:ascii="Courier New" w:hAnsi="Courier New" w:hint="default"/>
      </w:rPr>
    </w:lvl>
    <w:lvl w:ilvl="2" w:tplc="B23404A0">
      <w:start w:val="1"/>
      <w:numFmt w:val="bullet"/>
      <w:lvlText w:val=""/>
      <w:lvlJc w:val="left"/>
      <w:pPr>
        <w:ind w:left="2160" w:hanging="360"/>
      </w:pPr>
      <w:rPr>
        <w:rFonts w:ascii="Wingdings" w:hAnsi="Wingdings" w:hint="default"/>
      </w:rPr>
    </w:lvl>
    <w:lvl w:ilvl="3" w:tplc="BB1A4462">
      <w:start w:val="1"/>
      <w:numFmt w:val="bullet"/>
      <w:lvlText w:val=""/>
      <w:lvlJc w:val="left"/>
      <w:pPr>
        <w:ind w:left="2880" w:hanging="360"/>
      </w:pPr>
      <w:rPr>
        <w:rFonts w:ascii="Symbol" w:hAnsi="Symbol" w:hint="default"/>
      </w:rPr>
    </w:lvl>
    <w:lvl w:ilvl="4" w:tplc="F77AC37E">
      <w:start w:val="1"/>
      <w:numFmt w:val="bullet"/>
      <w:lvlText w:val="o"/>
      <w:lvlJc w:val="left"/>
      <w:pPr>
        <w:ind w:left="3600" w:hanging="360"/>
      </w:pPr>
      <w:rPr>
        <w:rFonts w:ascii="Courier New" w:hAnsi="Courier New" w:hint="default"/>
      </w:rPr>
    </w:lvl>
    <w:lvl w:ilvl="5" w:tplc="5920BCFC">
      <w:start w:val="1"/>
      <w:numFmt w:val="bullet"/>
      <w:lvlText w:val=""/>
      <w:lvlJc w:val="left"/>
      <w:pPr>
        <w:ind w:left="4320" w:hanging="360"/>
      </w:pPr>
      <w:rPr>
        <w:rFonts w:ascii="Wingdings" w:hAnsi="Wingdings" w:hint="default"/>
      </w:rPr>
    </w:lvl>
    <w:lvl w:ilvl="6" w:tplc="A78C275C">
      <w:start w:val="1"/>
      <w:numFmt w:val="bullet"/>
      <w:lvlText w:val=""/>
      <w:lvlJc w:val="left"/>
      <w:pPr>
        <w:ind w:left="5040" w:hanging="360"/>
      </w:pPr>
      <w:rPr>
        <w:rFonts w:ascii="Symbol" w:hAnsi="Symbol" w:hint="default"/>
      </w:rPr>
    </w:lvl>
    <w:lvl w:ilvl="7" w:tplc="61B6EC46">
      <w:start w:val="1"/>
      <w:numFmt w:val="bullet"/>
      <w:lvlText w:val="o"/>
      <w:lvlJc w:val="left"/>
      <w:pPr>
        <w:ind w:left="5760" w:hanging="360"/>
      </w:pPr>
      <w:rPr>
        <w:rFonts w:ascii="Courier New" w:hAnsi="Courier New" w:hint="default"/>
      </w:rPr>
    </w:lvl>
    <w:lvl w:ilvl="8" w:tplc="BECE6D6A">
      <w:start w:val="1"/>
      <w:numFmt w:val="bullet"/>
      <w:lvlText w:val=""/>
      <w:lvlJc w:val="left"/>
      <w:pPr>
        <w:ind w:left="6480" w:hanging="360"/>
      </w:pPr>
      <w:rPr>
        <w:rFonts w:ascii="Wingdings" w:hAnsi="Wingdings" w:hint="default"/>
      </w:rPr>
    </w:lvl>
  </w:abstractNum>
  <w:abstractNum w:abstractNumId="4" w15:restartNumberingAfterBreak="0">
    <w:nsid w:val="114823F4"/>
    <w:multiLevelType w:val="multilevel"/>
    <w:tmpl w:val="EA963E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2FC078B"/>
    <w:multiLevelType w:val="hybridMultilevel"/>
    <w:tmpl w:val="0E8C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D4EC8"/>
    <w:multiLevelType w:val="multilevel"/>
    <w:tmpl w:val="295E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7775A3"/>
    <w:multiLevelType w:val="multilevel"/>
    <w:tmpl w:val="60307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80386"/>
    <w:multiLevelType w:val="multilevel"/>
    <w:tmpl w:val="97DE8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D5DE0"/>
    <w:multiLevelType w:val="hybridMultilevel"/>
    <w:tmpl w:val="2DFE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621FB"/>
    <w:multiLevelType w:val="multilevel"/>
    <w:tmpl w:val="8B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FE6793"/>
    <w:multiLevelType w:val="multilevel"/>
    <w:tmpl w:val="69D22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B610661"/>
    <w:multiLevelType w:val="multilevel"/>
    <w:tmpl w:val="CE88F2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BA0AB07"/>
    <w:multiLevelType w:val="hybridMultilevel"/>
    <w:tmpl w:val="448E8026"/>
    <w:lvl w:ilvl="0" w:tplc="B7E09D9A">
      <w:start w:val="1"/>
      <w:numFmt w:val="bullet"/>
      <w:lvlText w:val=""/>
      <w:lvlJc w:val="left"/>
      <w:pPr>
        <w:ind w:left="720" w:hanging="360"/>
      </w:pPr>
      <w:rPr>
        <w:rFonts w:ascii="Symbol" w:hAnsi="Symbol" w:hint="default"/>
      </w:rPr>
    </w:lvl>
    <w:lvl w:ilvl="1" w:tplc="89AE6E2A">
      <w:start w:val="1"/>
      <w:numFmt w:val="bullet"/>
      <w:lvlText w:val="o"/>
      <w:lvlJc w:val="left"/>
      <w:pPr>
        <w:ind w:left="1440" w:hanging="360"/>
      </w:pPr>
      <w:rPr>
        <w:rFonts w:ascii="Courier New" w:hAnsi="Courier New" w:hint="default"/>
      </w:rPr>
    </w:lvl>
    <w:lvl w:ilvl="2" w:tplc="A330EC6C">
      <w:start w:val="1"/>
      <w:numFmt w:val="bullet"/>
      <w:lvlText w:val=""/>
      <w:lvlJc w:val="left"/>
      <w:pPr>
        <w:ind w:left="2160" w:hanging="360"/>
      </w:pPr>
      <w:rPr>
        <w:rFonts w:ascii="Wingdings" w:hAnsi="Wingdings" w:hint="default"/>
      </w:rPr>
    </w:lvl>
    <w:lvl w:ilvl="3" w:tplc="A9A83934">
      <w:start w:val="1"/>
      <w:numFmt w:val="bullet"/>
      <w:lvlText w:val=""/>
      <w:lvlJc w:val="left"/>
      <w:pPr>
        <w:ind w:left="2880" w:hanging="360"/>
      </w:pPr>
      <w:rPr>
        <w:rFonts w:ascii="Symbol" w:hAnsi="Symbol" w:hint="default"/>
      </w:rPr>
    </w:lvl>
    <w:lvl w:ilvl="4" w:tplc="E9F27476">
      <w:start w:val="1"/>
      <w:numFmt w:val="bullet"/>
      <w:lvlText w:val="o"/>
      <w:lvlJc w:val="left"/>
      <w:pPr>
        <w:ind w:left="3600" w:hanging="360"/>
      </w:pPr>
      <w:rPr>
        <w:rFonts w:ascii="Courier New" w:hAnsi="Courier New" w:hint="default"/>
      </w:rPr>
    </w:lvl>
    <w:lvl w:ilvl="5" w:tplc="77F680C2">
      <w:start w:val="1"/>
      <w:numFmt w:val="bullet"/>
      <w:lvlText w:val=""/>
      <w:lvlJc w:val="left"/>
      <w:pPr>
        <w:ind w:left="4320" w:hanging="360"/>
      </w:pPr>
      <w:rPr>
        <w:rFonts w:ascii="Wingdings" w:hAnsi="Wingdings" w:hint="default"/>
      </w:rPr>
    </w:lvl>
    <w:lvl w:ilvl="6" w:tplc="F02A1A1C">
      <w:start w:val="1"/>
      <w:numFmt w:val="bullet"/>
      <w:lvlText w:val=""/>
      <w:lvlJc w:val="left"/>
      <w:pPr>
        <w:ind w:left="5040" w:hanging="360"/>
      </w:pPr>
      <w:rPr>
        <w:rFonts w:ascii="Symbol" w:hAnsi="Symbol" w:hint="default"/>
      </w:rPr>
    </w:lvl>
    <w:lvl w:ilvl="7" w:tplc="0B3A3246">
      <w:start w:val="1"/>
      <w:numFmt w:val="bullet"/>
      <w:lvlText w:val="o"/>
      <w:lvlJc w:val="left"/>
      <w:pPr>
        <w:ind w:left="5760" w:hanging="360"/>
      </w:pPr>
      <w:rPr>
        <w:rFonts w:ascii="Courier New" w:hAnsi="Courier New" w:hint="default"/>
      </w:rPr>
    </w:lvl>
    <w:lvl w:ilvl="8" w:tplc="F5A2DFC8">
      <w:start w:val="1"/>
      <w:numFmt w:val="bullet"/>
      <w:lvlText w:val=""/>
      <w:lvlJc w:val="left"/>
      <w:pPr>
        <w:ind w:left="6480" w:hanging="360"/>
      </w:pPr>
      <w:rPr>
        <w:rFonts w:ascii="Wingdings" w:hAnsi="Wingdings" w:hint="default"/>
      </w:rPr>
    </w:lvl>
  </w:abstractNum>
  <w:abstractNum w:abstractNumId="14" w15:restartNumberingAfterBreak="0">
    <w:nsid w:val="1D3AB283"/>
    <w:multiLevelType w:val="hybridMultilevel"/>
    <w:tmpl w:val="DA1AA636"/>
    <w:lvl w:ilvl="0" w:tplc="ECFC3926">
      <w:start w:val="1"/>
      <w:numFmt w:val="bullet"/>
      <w:lvlText w:val=""/>
      <w:lvlJc w:val="left"/>
      <w:pPr>
        <w:ind w:left="2520" w:hanging="360"/>
      </w:pPr>
      <w:rPr>
        <w:rFonts w:ascii="Symbol" w:hAnsi="Symbol" w:hint="default"/>
      </w:rPr>
    </w:lvl>
    <w:lvl w:ilvl="1" w:tplc="CB0AC134">
      <w:start w:val="1"/>
      <w:numFmt w:val="bullet"/>
      <w:lvlText w:val="o"/>
      <w:lvlJc w:val="left"/>
      <w:pPr>
        <w:ind w:left="3240" w:hanging="360"/>
      </w:pPr>
      <w:rPr>
        <w:rFonts w:ascii="Courier New" w:hAnsi="Courier New" w:hint="default"/>
      </w:rPr>
    </w:lvl>
    <w:lvl w:ilvl="2" w:tplc="88A49524">
      <w:start w:val="1"/>
      <w:numFmt w:val="bullet"/>
      <w:lvlText w:val=""/>
      <w:lvlJc w:val="left"/>
      <w:pPr>
        <w:ind w:left="3960" w:hanging="360"/>
      </w:pPr>
      <w:rPr>
        <w:rFonts w:ascii="Wingdings" w:hAnsi="Wingdings" w:hint="default"/>
      </w:rPr>
    </w:lvl>
    <w:lvl w:ilvl="3" w:tplc="0DC00210">
      <w:start w:val="1"/>
      <w:numFmt w:val="bullet"/>
      <w:lvlText w:val=""/>
      <w:lvlJc w:val="left"/>
      <w:pPr>
        <w:ind w:left="4680" w:hanging="360"/>
      </w:pPr>
      <w:rPr>
        <w:rFonts w:ascii="Symbol" w:hAnsi="Symbol" w:hint="default"/>
      </w:rPr>
    </w:lvl>
    <w:lvl w:ilvl="4" w:tplc="9020980A">
      <w:start w:val="1"/>
      <w:numFmt w:val="bullet"/>
      <w:lvlText w:val="o"/>
      <w:lvlJc w:val="left"/>
      <w:pPr>
        <w:ind w:left="5400" w:hanging="360"/>
      </w:pPr>
      <w:rPr>
        <w:rFonts w:ascii="Courier New" w:hAnsi="Courier New" w:hint="default"/>
      </w:rPr>
    </w:lvl>
    <w:lvl w:ilvl="5" w:tplc="585E781C">
      <w:start w:val="1"/>
      <w:numFmt w:val="bullet"/>
      <w:lvlText w:val=""/>
      <w:lvlJc w:val="left"/>
      <w:pPr>
        <w:ind w:left="6120" w:hanging="360"/>
      </w:pPr>
      <w:rPr>
        <w:rFonts w:ascii="Wingdings" w:hAnsi="Wingdings" w:hint="default"/>
      </w:rPr>
    </w:lvl>
    <w:lvl w:ilvl="6" w:tplc="36D4D104">
      <w:start w:val="1"/>
      <w:numFmt w:val="bullet"/>
      <w:lvlText w:val=""/>
      <w:lvlJc w:val="left"/>
      <w:pPr>
        <w:ind w:left="6840" w:hanging="360"/>
      </w:pPr>
      <w:rPr>
        <w:rFonts w:ascii="Symbol" w:hAnsi="Symbol" w:hint="default"/>
      </w:rPr>
    </w:lvl>
    <w:lvl w:ilvl="7" w:tplc="FE24723E">
      <w:start w:val="1"/>
      <w:numFmt w:val="bullet"/>
      <w:lvlText w:val="o"/>
      <w:lvlJc w:val="left"/>
      <w:pPr>
        <w:ind w:left="7560" w:hanging="360"/>
      </w:pPr>
      <w:rPr>
        <w:rFonts w:ascii="Courier New" w:hAnsi="Courier New" w:hint="default"/>
      </w:rPr>
    </w:lvl>
    <w:lvl w:ilvl="8" w:tplc="1084F2DA">
      <w:start w:val="1"/>
      <w:numFmt w:val="bullet"/>
      <w:lvlText w:val=""/>
      <w:lvlJc w:val="left"/>
      <w:pPr>
        <w:ind w:left="8280" w:hanging="360"/>
      </w:pPr>
      <w:rPr>
        <w:rFonts w:ascii="Wingdings" w:hAnsi="Wingdings" w:hint="default"/>
      </w:rPr>
    </w:lvl>
  </w:abstractNum>
  <w:abstractNum w:abstractNumId="15" w15:restartNumberingAfterBreak="0">
    <w:nsid w:val="1F5B118A"/>
    <w:multiLevelType w:val="hybridMultilevel"/>
    <w:tmpl w:val="29C0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10581"/>
    <w:multiLevelType w:val="multilevel"/>
    <w:tmpl w:val="9236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150A7F"/>
    <w:multiLevelType w:val="multilevel"/>
    <w:tmpl w:val="D5BAF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0663168"/>
    <w:multiLevelType w:val="multilevel"/>
    <w:tmpl w:val="4116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CC0C94"/>
    <w:multiLevelType w:val="hybridMultilevel"/>
    <w:tmpl w:val="8BD4B2B6"/>
    <w:lvl w:ilvl="0" w:tplc="98B03B90">
      <w:start w:val="1"/>
      <w:numFmt w:val="lowerLetter"/>
      <w:lvlText w:val="%1."/>
      <w:lvlJc w:val="left"/>
      <w:pPr>
        <w:ind w:left="720" w:hanging="360"/>
      </w:pPr>
    </w:lvl>
    <w:lvl w:ilvl="1" w:tplc="85688A32">
      <w:start w:val="1"/>
      <w:numFmt w:val="lowerLetter"/>
      <w:lvlText w:val="%2."/>
      <w:lvlJc w:val="left"/>
      <w:pPr>
        <w:ind w:left="1440" w:hanging="360"/>
      </w:pPr>
    </w:lvl>
    <w:lvl w:ilvl="2" w:tplc="37E0D8C4">
      <w:start w:val="1"/>
      <w:numFmt w:val="lowerRoman"/>
      <w:lvlText w:val="%3."/>
      <w:lvlJc w:val="right"/>
      <w:pPr>
        <w:ind w:left="2160" w:hanging="180"/>
      </w:pPr>
    </w:lvl>
    <w:lvl w:ilvl="3" w:tplc="659803A2">
      <w:start w:val="1"/>
      <w:numFmt w:val="decimal"/>
      <w:lvlText w:val="%4."/>
      <w:lvlJc w:val="left"/>
      <w:pPr>
        <w:ind w:left="2880" w:hanging="360"/>
      </w:pPr>
    </w:lvl>
    <w:lvl w:ilvl="4" w:tplc="C1A443FA">
      <w:start w:val="1"/>
      <w:numFmt w:val="lowerLetter"/>
      <w:lvlText w:val="%5."/>
      <w:lvlJc w:val="left"/>
      <w:pPr>
        <w:ind w:left="3600" w:hanging="360"/>
      </w:pPr>
    </w:lvl>
    <w:lvl w:ilvl="5" w:tplc="520E34BA">
      <w:start w:val="1"/>
      <w:numFmt w:val="lowerRoman"/>
      <w:lvlText w:val="%6."/>
      <w:lvlJc w:val="right"/>
      <w:pPr>
        <w:ind w:left="4320" w:hanging="180"/>
      </w:pPr>
    </w:lvl>
    <w:lvl w:ilvl="6" w:tplc="3820B5BC">
      <w:start w:val="1"/>
      <w:numFmt w:val="decimal"/>
      <w:lvlText w:val="%7."/>
      <w:lvlJc w:val="left"/>
      <w:pPr>
        <w:ind w:left="5040" w:hanging="360"/>
      </w:pPr>
    </w:lvl>
    <w:lvl w:ilvl="7" w:tplc="7E6A4984">
      <w:start w:val="1"/>
      <w:numFmt w:val="lowerLetter"/>
      <w:lvlText w:val="%8."/>
      <w:lvlJc w:val="left"/>
      <w:pPr>
        <w:ind w:left="5760" w:hanging="360"/>
      </w:pPr>
    </w:lvl>
    <w:lvl w:ilvl="8" w:tplc="9EDCE7D2">
      <w:start w:val="1"/>
      <w:numFmt w:val="lowerRoman"/>
      <w:lvlText w:val="%9."/>
      <w:lvlJc w:val="right"/>
      <w:pPr>
        <w:ind w:left="6480" w:hanging="180"/>
      </w:pPr>
    </w:lvl>
  </w:abstractNum>
  <w:abstractNum w:abstractNumId="20" w15:restartNumberingAfterBreak="0">
    <w:nsid w:val="21E61BCD"/>
    <w:multiLevelType w:val="multilevel"/>
    <w:tmpl w:val="8B4A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F56AFF"/>
    <w:multiLevelType w:val="multilevel"/>
    <w:tmpl w:val="0D56E7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2EB5AF2"/>
    <w:multiLevelType w:val="multilevel"/>
    <w:tmpl w:val="81C2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0A7787"/>
    <w:multiLevelType w:val="multilevel"/>
    <w:tmpl w:val="7FB2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876FB3"/>
    <w:multiLevelType w:val="multilevel"/>
    <w:tmpl w:val="C556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E577A9"/>
    <w:multiLevelType w:val="multilevel"/>
    <w:tmpl w:val="D33C36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E3672A"/>
    <w:multiLevelType w:val="multilevel"/>
    <w:tmpl w:val="FAB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BEF01A5"/>
    <w:multiLevelType w:val="hybridMultilevel"/>
    <w:tmpl w:val="E7E83130"/>
    <w:lvl w:ilvl="0" w:tplc="8B3AAF7E">
      <w:start w:val="1"/>
      <w:numFmt w:val="bullet"/>
      <w:lvlText w:val=""/>
      <w:lvlJc w:val="left"/>
      <w:pPr>
        <w:ind w:left="720" w:hanging="360"/>
      </w:pPr>
      <w:rPr>
        <w:rFonts w:ascii="Symbol" w:hAnsi="Symbol" w:hint="default"/>
      </w:rPr>
    </w:lvl>
    <w:lvl w:ilvl="1" w:tplc="E9BA4932">
      <w:start w:val="1"/>
      <w:numFmt w:val="bullet"/>
      <w:lvlText w:val="o"/>
      <w:lvlJc w:val="left"/>
      <w:pPr>
        <w:ind w:left="1440" w:hanging="360"/>
      </w:pPr>
      <w:rPr>
        <w:rFonts w:ascii="Courier New" w:hAnsi="Courier New" w:hint="default"/>
      </w:rPr>
    </w:lvl>
    <w:lvl w:ilvl="2" w:tplc="87D80A06">
      <w:start w:val="1"/>
      <w:numFmt w:val="bullet"/>
      <w:lvlText w:val=""/>
      <w:lvlJc w:val="left"/>
      <w:pPr>
        <w:ind w:left="2160" w:hanging="360"/>
      </w:pPr>
      <w:rPr>
        <w:rFonts w:ascii="Wingdings" w:hAnsi="Wingdings" w:hint="default"/>
      </w:rPr>
    </w:lvl>
    <w:lvl w:ilvl="3" w:tplc="CA56F296">
      <w:start w:val="1"/>
      <w:numFmt w:val="bullet"/>
      <w:lvlText w:val=""/>
      <w:lvlJc w:val="left"/>
      <w:pPr>
        <w:ind w:left="2880" w:hanging="360"/>
      </w:pPr>
      <w:rPr>
        <w:rFonts w:ascii="Symbol" w:hAnsi="Symbol" w:hint="default"/>
      </w:rPr>
    </w:lvl>
    <w:lvl w:ilvl="4" w:tplc="0B56453A">
      <w:start w:val="1"/>
      <w:numFmt w:val="bullet"/>
      <w:lvlText w:val="o"/>
      <w:lvlJc w:val="left"/>
      <w:pPr>
        <w:ind w:left="3600" w:hanging="360"/>
      </w:pPr>
      <w:rPr>
        <w:rFonts w:ascii="Courier New" w:hAnsi="Courier New" w:hint="default"/>
      </w:rPr>
    </w:lvl>
    <w:lvl w:ilvl="5" w:tplc="59381C72">
      <w:start w:val="1"/>
      <w:numFmt w:val="bullet"/>
      <w:lvlText w:val=""/>
      <w:lvlJc w:val="left"/>
      <w:pPr>
        <w:ind w:left="4320" w:hanging="360"/>
      </w:pPr>
      <w:rPr>
        <w:rFonts w:ascii="Wingdings" w:hAnsi="Wingdings" w:hint="default"/>
      </w:rPr>
    </w:lvl>
    <w:lvl w:ilvl="6" w:tplc="BD74924A">
      <w:start w:val="1"/>
      <w:numFmt w:val="bullet"/>
      <w:lvlText w:val=""/>
      <w:lvlJc w:val="left"/>
      <w:pPr>
        <w:ind w:left="5040" w:hanging="360"/>
      </w:pPr>
      <w:rPr>
        <w:rFonts w:ascii="Symbol" w:hAnsi="Symbol" w:hint="default"/>
      </w:rPr>
    </w:lvl>
    <w:lvl w:ilvl="7" w:tplc="A7E2FDEA">
      <w:start w:val="1"/>
      <w:numFmt w:val="bullet"/>
      <w:lvlText w:val="o"/>
      <w:lvlJc w:val="left"/>
      <w:pPr>
        <w:ind w:left="5760" w:hanging="360"/>
      </w:pPr>
      <w:rPr>
        <w:rFonts w:ascii="Courier New" w:hAnsi="Courier New" w:hint="default"/>
      </w:rPr>
    </w:lvl>
    <w:lvl w:ilvl="8" w:tplc="AE580BFA">
      <w:start w:val="1"/>
      <w:numFmt w:val="bullet"/>
      <w:lvlText w:val=""/>
      <w:lvlJc w:val="left"/>
      <w:pPr>
        <w:ind w:left="6480" w:hanging="360"/>
      </w:pPr>
      <w:rPr>
        <w:rFonts w:ascii="Wingdings" w:hAnsi="Wingdings" w:hint="default"/>
      </w:rPr>
    </w:lvl>
  </w:abstractNum>
  <w:abstractNum w:abstractNumId="28" w15:restartNumberingAfterBreak="0">
    <w:nsid w:val="2CF318C8"/>
    <w:multiLevelType w:val="multilevel"/>
    <w:tmpl w:val="F1EE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1E056B"/>
    <w:multiLevelType w:val="multilevel"/>
    <w:tmpl w:val="227072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EB52179"/>
    <w:multiLevelType w:val="multilevel"/>
    <w:tmpl w:val="8F4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F4C202D"/>
    <w:multiLevelType w:val="multilevel"/>
    <w:tmpl w:val="3FD084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306F02A0"/>
    <w:multiLevelType w:val="hybridMultilevel"/>
    <w:tmpl w:val="39F4C450"/>
    <w:lvl w:ilvl="0" w:tplc="E9A06790">
      <w:start w:val="1"/>
      <w:numFmt w:val="bullet"/>
      <w:lvlText w:val=""/>
      <w:lvlJc w:val="left"/>
      <w:pPr>
        <w:ind w:left="720" w:hanging="360"/>
      </w:pPr>
      <w:rPr>
        <w:rFonts w:ascii="Symbol" w:hAnsi="Symbol" w:hint="default"/>
      </w:rPr>
    </w:lvl>
    <w:lvl w:ilvl="1" w:tplc="5F9EA386">
      <w:start w:val="1"/>
      <w:numFmt w:val="bullet"/>
      <w:lvlText w:val="o"/>
      <w:lvlJc w:val="left"/>
      <w:pPr>
        <w:ind w:left="1440" w:hanging="360"/>
      </w:pPr>
      <w:rPr>
        <w:rFonts w:ascii="Courier New" w:hAnsi="Courier New" w:hint="default"/>
      </w:rPr>
    </w:lvl>
    <w:lvl w:ilvl="2" w:tplc="B4AA8E1E">
      <w:start w:val="1"/>
      <w:numFmt w:val="bullet"/>
      <w:lvlText w:val=""/>
      <w:lvlJc w:val="left"/>
      <w:pPr>
        <w:ind w:left="2160" w:hanging="360"/>
      </w:pPr>
      <w:rPr>
        <w:rFonts w:ascii="Wingdings" w:hAnsi="Wingdings" w:hint="default"/>
      </w:rPr>
    </w:lvl>
    <w:lvl w:ilvl="3" w:tplc="BA9EF240">
      <w:start w:val="1"/>
      <w:numFmt w:val="bullet"/>
      <w:lvlText w:val=""/>
      <w:lvlJc w:val="left"/>
      <w:pPr>
        <w:ind w:left="2880" w:hanging="360"/>
      </w:pPr>
      <w:rPr>
        <w:rFonts w:ascii="Symbol" w:hAnsi="Symbol" w:hint="default"/>
      </w:rPr>
    </w:lvl>
    <w:lvl w:ilvl="4" w:tplc="1820C2C0">
      <w:start w:val="1"/>
      <w:numFmt w:val="bullet"/>
      <w:lvlText w:val="o"/>
      <w:lvlJc w:val="left"/>
      <w:pPr>
        <w:ind w:left="3600" w:hanging="360"/>
      </w:pPr>
      <w:rPr>
        <w:rFonts w:ascii="Courier New" w:hAnsi="Courier New" w:hint="default"/>
      </w:rPr>
    </w:lvl>
    <w:lvl w:ilvl="5" w:tplc="C308A7BA">
      <w:start w:val="1"/>
      <w:numFmt w:val="bullet"/>
      <w:lvlText w:val=""/>
      <w:lvlJc w:val="left"/>
      <w:pPr>
        <w:ind w:left="4320" w:hanging="360"/>
      </w:pPr>
      <w:rPr>
        <w:rFonts w:ascii="Wingdings" w:hAnsi="Wingdings" w:hint="default"/>
      </w:rPr>
    </w:lvl>
    <w:lvl w:ilvl="6" w:tplc="FDCC31A0">
      <w:start w:val="1"/>
      <w:numFmt w:val="bullet"/>
      <w:lvlText w:val=""/>
      <w:lvlJc w:val="left"/>
      <w:pPr>
        <w:ind w:left="5040" w:hanging="360"/>
      </w:pPr>
      <w:rPr>
        <w:rFonts w:ascii="Symbol" w:hAnsi="Symbol" w:hint="default"/>
      </w:rPr>
    </w:lvl>
    <w:lvl w:ilvl="7" w:tplc="432C404A">
      <w:start w:val="1"/>
      <w:numFmt w:val="bullet"/>
      <w:lvlText w:val="o"/>
      <w:lvlJc w:val="left"/>
      <w:pPr>
        <w:ind w:left="5760" w:hanging="360"/>
      </w:pPr>
      <w:rPr>
        <w:rFonts w:ascii="Courier New" w:hAnsi="Courier New" w:hint="default"/>
      </w:rPr>
    </w:lvl>
    <w:lvl w:ilvl="8" w:tplc="E6560C00">
      <w:start w:val="1"/>
      <w:numFmt w:val="bullet"/>
      <w:lvlText w:val=""/>
      <w:lvlJc w:val="left"/>
      <w:pPr>
        <w:ind w:left="6480" w:hanging="360"/>
      </w:pPr>
      <w:rPr>
        <w:rFonts w:ascii="Wingdings" w:hAnsi="Wingdings" w:hint="default"/>
      </w:rPr>
    </w:lvl>
  </w:abstractNum>
  <w:abstractNum w:abstractNumId="33" w15:restartNumberingAfterBreak="0">
    <w:nsid w:val="30863513"/>
    <w:multiLevelType w:val="multilevel"/>
    <w:tmpl w:val="9BCEBC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30893F20"/>
    <w:multiLevelType w:val="multilevel"/>
    <w:tmpl w:val="C9EC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063A70"/>
    <w:multiLevelType w:val="hybridMultilevel"/>
    <w:tmpl w:val="E8EAE57C"/>
    <w:lvl w:ilvl="0" w:tplc="0409000F">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084F1F"/>
    <w:multiLevelType w:val="hybridMultilevel"/>
    <w:tmpl w:val="36B6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210A34"/>
    <w:multiLevelType w:val="hybridMultilevel"/>
    <w:tmpl w:val="C8921432"/>
    <w:lvl w:ilvl="0" w:tplc="48E6F6D8">
      <w:start w:val="1"/>
      <w:numFmt w:val="bullet"/>
      <w:lvlText w:val=""/>
      <w:lvlJc w:val="left"/>
      <w:pPr>
        <w:ind w:left="1800" w:hanging="360"/>
      </w:pPr>
      <w:rPr>
        <w:rFonts w:ascii="Symbol" w:hAnsi="Symbol" w:hint="default"/>
      </w:rPr>
    </w:lvl>
    <w:lvl w:ilvl="1" w:tplc="81EA6FAE">
      <w:start w:val="1"/>
      <w:numFmt w:val="bullet"/>
      <w:lvlText w:val="o"/>
      <w:lvlJc w:val="left"/>
      <w:pPr>
        <w:ind w:left="2520" w:hanging="360"/>
      </w:pPr>
      <w:rPr>
        <w:rFonts w:ascii="Courier New" w:hAnsi="Courier New" w:hint="default"/>
      </w:rPr>
    </w:lvl>
    <w:lvl w:ilvl="2" w:tplc="F0C67E34">
      <w:start w:val="1"/>
      <w:numFmt w:val="bullet"/>
      <w:lvlText w:val=""/>
      <w:lvlJc w:val="left"/>
      <w:pPr>
        <w:ind w:left="3240" w:hanging="360"/>
      </w:pPr>
      <w:rPr>
        <w:rFonts w:ascii="Symbol" w:hAnsi="Symbol" w:hint="default"/>
      </w:rPr>
    </w:lvl>
    <w:lvl w:ilvl="3" w:tplc="2C30734E">
      <w:start w:val="1"/>
      <w:numFmt w:val="bullet"/>
      <w:lvlText w:val=""/>
      <w:lvlJc w:val="left"/>
      <w:pPr>
        <w:ind w:left="3960" w:hanging="360"/>
      </w:pPr>
      <w:rPr>
        <w:rFonts w:ascii="Symbol" w:hAnsi="Symbol" w:hint="default"/>
      </w:rPr>
    </w:lvl>
    <w:lvl w:ilvl="4" w:tplc="F59CE8C2">
      <w:start w:val="1"/>
      <w:numFmt w:val="bullet"/>
      <w:lvlText w:val="o"/>
      <w:lvlJc w:val="left"/>
      <w:pPr>
        <w:ind w:left="4680" w:hanging="360"/>
      </w:pPr>
      <w:rPr>
        <w:rFonts w:ascii="Courier New" w:hAnsi="Courier New" w:hint="default"/>
      </w:rPr>
    </w:lvl>
    <w:lvl w:ilvl="5" w:tplc="F404ED06">
      <w:start w:val="1"/>
      <w:numFmt w:val="bullet"/>
      <w:lvlText w:val=""/>
      <w:lvlJc w:val="left"/>
      <w:pPr>
        <w:ind w:left="5400" w:hanging="360"/>
      </w:pPr>
      <w:rPr>
        <w:rFonts w:ascii="Wingdings" w:hAnsi="Wingdings" w:hint="default"/>
      </w:rPr>
    </w:lvl>
    <w:lvl w:ilvl="6" w:tplc="A19EA59C">
      <w:start w:val="1"/>
      <w:numFmt w:val="bullet"/>
      <w:lvlText w:val=""/>
      <w:lvlJc w:val="left"/>
      <w:pPr>
        <w:ind w:left="6120" w:hanging="360"/>
      </w:pPr>
      <w:rPr>
        <w:rFonts w:ascii="Symbol" w:hAnsi="Symbol" w:hint="default"/>
      </w:rPr>
    </w:lvl>
    <w:lvl w:ilvl="7" w:tplc="BC0C8A7A">
      <w:start w:val="1"/>
      <w:numFmt w:val="bullet"/>
      <w:lvlText w:val="o"/>
      <w:lvlJc w:val="left"/>
      <w:pPr>
        <w:ind w:left="6840" w:hanging="360"/>
      </w:pPr>
      <w:rPr>
        <w:rFonts w:ascii="Courier New" w:hAnsi="Courier New" w:hint="default"/>
      </w:rPr>
    </w:lvl>
    <w:lvl w:ilvl="8" w:tplc="DA300A1A">
      <w:start w:val="1"/>
      <w:numFmt w:val="bullet"/>
      <w:lvlText w:val=""/>
      <w:lvlJc w:val="left"/>
      <w:pPr>
        <w:ind w:left="7560" w:hanging="360"/>
      </w:pPr>
      <w:rPr>
        <w:rFonts w:ascii="Wingdings" w:hAnsi="Wingdings" w:hint="default"/>
      </w:rPr>
    </w:lvl>
  </w:abstractNum>
  <w:abstractNum w:abstractNumId="38" w15:restartNumberingAfterBreak="0">
    <w:nsid w:val="37C00D41"/>
    <w:multiLevelType w:val="multilevel"/>
    <w:tmpl w:val="3746C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043798"/>
    <w:multiLevelType w:val="multilevel"/>
    <w:tmpl w:val="E168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C3C9B09"/>
    <w:multiLevelType w:val="hybridMultilevel"/>
    <w:tmpl w:val="6DC477CE"/>
    <w:lvl w:ilvl="0" w:tplc="B5FC264C">
      <w:start w:val="1"/>
      <w:numFmt w:val="lowerLetter"/>
      <w:lvlText w:val="%1."/>
      <w:lvlJc w:val="left"/>
      <w:pPr>
        <w:ind w:left="720" w:hanging="360"/>
      </w:pPr>
    </w:lvl>
    <w:lvl w:ilvl="1" w:tplc="BD46B87A">
      <w:start w:val="1"/>
      <w:numFmt w:val="lowerLetter"/>
      <w:lvlText w:val="%2."/>
      <w:lvlJc w:val="left"/>
      <w:pPr>
        <w:ind w:left="1440" w:hanging="360"/>
      </w:pPr>
    </w:lvl>
    <w:lvl w:ilvl="2" w:tplc="A868360C">
      <w:start w:val="1"/>
      <w:numFmt w:val="lowerRoman"/>
      <w:lvlText w:val="%3."/>
      <w:lvlJc w:val="right"/>
      <w:pPr>
        <w:ind w:left="2160" w:hanging="180"/>
      </w:pPr>
    </w:lvl>
    <w:lvl w:ilvl="3" w:tplc="FB56DCF6">
      <w:start w:val="1"/>
      <w:numFmt w:val="decimal"/>
      <w:lvlText w:val="%4."/>
      <w:lvlJc w:val="left"/>
      <w:pPr>
        <w:ind w:left="2880" w:hanging="360"/>
      </w:pPr>
    </w:lvl>
    <w:lvl w:ilvl="4" w:tplc="7B841D58">
      <w:start w:val="1"/>
      <w:numFmt w:val="lowerLetter"/>
      <w:lvlText w:val="%5."/>
      <w:lvlJc w:val="left"/>
      <w:pPr>
        <w:ind w:left="3600" w:hanging="360"/>
      </w:pPr>
    </w:lvl>
    <w:lvl w:ilvl="5" w:tplc="142ADC32">
      <w:start w:val="1"/>
      <w:numFmt w:val="lowerRoman"/>
      <w:lvlText w:val="%6."/>
      <w:lvlJc w:val="right"/>
      <w:pPr>
        <w:ind w:left="4320" w:hanging="180"/>
      </w:pPr>
    </w:lvl>
    <w:lvl w:ilvl="6" w:tplc="E902B8FA">
      <w:start w:val="1"/>
      <w:numFmt w:val="decimal"/>
      <w:lvlText w:val="%7."/>
      <w:lvlJc w:val="left"/>
      <w:pPr>
        <w:ind w:left="5040" w:hanging="360"/>
      </w:pPr>
    </w:lvl>
    <w:lvl w:ilvl="7" w:tplc="E3561476">
      <w:start w:val="1"/>
      <w:numFmt w:val="lowerLetter"/>
      <w:lvlText w:val="%8."/>
      <w:lvlJc w:val="left"/>
      <w:pPr>
        <w:ind w:left="5760" w:hanging="360"/>
      </w:pPr>
    </w:lvl>
    <w:lvl w:ilvl="8" w:tplc="74B6FE66">
      <w:start w:val="1"/>
      <w:numFmt w:val="lowerRoman"/>
      <w:lvlText w:val="%9."/>
      <w:lvlJc w:val="right"/>
      <w:pPr>
        <w:ind w:left="6480" w:hanging="180"/>
      </w:pPr>
    </w:lvl>
  </w:abstractNum>
  <w:abstractNum w:abstractNumId="41" w15:restartNumberingAfterBreak="0">
    <w:nsid w:val="3D773D0E"/>
    <w:multiLevelType w:val="hybridMultilevel"/>
    <w:tmpl w:val="F3A2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2604FB"/>
    <w:multiLevelType w:val="multilevel"/>
    <w:tmpl w:val="7242E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5A4D7F"/>
    <w:multiLevelType w:val="multilevel"/>
    <w:tmpl w:val="741261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455B6A0B"/>
    <w:multiLevelType w:val="multilevel"/>
    <w:tmpl w:val="0D26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6486DE4"/>
    <w:multiLevelType w:val="multilevel"/>
    <w:tmpl w:val="0CFC8E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466E3BDE"/>
    <w:multiLevelType w:val="multilevel"/>
    <w:tmpl w:val="039E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537AF1"/>
    <w:multiLevelType w:val="multilevel"/>
    <w:tmpl w:val="69B6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7A95B3D"/>
    <w:multiLevelType w:val="multilevel"/>
    <w:tmpl w:val="F70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7B94A7E"/>
    <w:multiLevelType w:val="multilevel"/>
    <w:tmpl w:val="349E1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5F74AF"/>
    <w:multiLevelType w:val="multilevel"/>
    <w:tmpl w:val="614A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BE9615F"/>
    <w:multiLevelType w:val="multilevel"/>
    <w:tmpl w:val="8DDE22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4C797553"/>
    <w:multiLevelType w:val="multilevel"/>
    <w:tmpl w:val="6076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CF21F42"/>
    <w:multiLevelType w:val="multilevel"/>
    <w:tmpl w:val="AA82E8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4E333BD7"/>
    <w:multiLevelType w:val="multilevel"/>
    <w:tmpl w:val="E1A4D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53E415FD"/>
    <w:multiLevelType w:val="multilevel"/>
    <w:tmpl w:val="93E6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43A697C"/>
    <w:multiLevelType w:val="multilevel"/>
    <w:tmpl w:val="164A7E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54545E8E"/>
    <w:multiLevelType w:val="hybridMultilevel"/>
    <w:tmpl w:val="6E6C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240C58"/>
    <w:multiLevelType w:val="multilevel"/>
    <w:tmpl w:val="9F7CC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650AE1"/>
    <w:multiLevelType w:val="multilevel"/>
    <w:tmpl w:val="F27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91308ED"/>
    <w:multiLevelType w:val="multilevel"/>
    <w:tmpl w:val="3B7EBE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59FD1024"/>
    <w:multiLevelType w:val="multilevel"/>
    <w:tmpl w:val="D0FA99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5B256754"/>
    <w:multiLevelType w:val="multilevel"/>
    <w:tmpl w:val="B5529C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C433885"/>
    <w:multiLevelType w:val="multilevel"/>
    <w:tmpl w:val="2B8A93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5C8B0FFF"/>
    <w:multiLevelType w:val="multilevel"/>
    <w:tmpl w:val="B350855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5DA66CC3"/>
    <w:multiLevelType w:val="multilevel"/>
    <w:tmpl w:val="9926B1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EF651DC"/>
    <w:multiLevelType w:val="multilevel"/>
    <w:tmpl w:val="507645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5F422F67"/>
    <w:multiLevelType w:val="multilevel"/>
    <w:tmpl w:val="9C9809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3228E1"/>
    <w:multiLevelType w:val="multilevel"/>
    <w:tmpl w:val="F25C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0E33E17"/>
    <w:multiLevelType w:val="hybridMultilevel"/>
    <w:tmpl w:val="6B50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703295"/>
    <w:multiLevelType w:val="hybridMultilevel"/>
    <w:tmpl w:val="673C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3B48D4"/>
    <w:multiLevelType w:val="hybridMultilevel"/>
    <w:tmpl w:val="3F22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6895F0"/>
    <w:multiLevelType w:val="hybridMultilevel"/>
    <w:tmpl w:val="A9443314"/>
    <w:lvl w:ilvl="0" w:tplc="01186FB0">
      <w:start w:val="1"/>
      <w:numFmt w:val="lowerLetter"/>
      <w:lvlText w:val="%1."/>
      <w:lvlJc w:val="left"/>
      <w:pPr>
        <w:ind w:left="720" w:hanging="360"/>
      </w:pPr>
    </w:lvl>
    <w:lvl w:ilvl="1" w:tplc="2C925610">
      <w:start w:val="1"/>
      <w:numFmt w:val="lowerLetter"/>
      <w:lvlText w:val="%2."/>
      <w:lvlJc w:val="left"/>
      <w:pPr>
        <w:ind w:left="1440" w:hanging="360"/>
      </w:pPr>
    </w:lvl>
    <w:lvl w:ilvl="2" w:tplc="15443038">
      <w:start w:val="1"/>
      <w:numFmt w:val="lowerRoman"/>
      <w:lvlText w:val="%3."/>
      <w:lvlJc w:val="right"/>
      <w:pPr>
        <w:ind w:left="2160" w:hanging="180"/>
      </w:pPr>
    </w:lvl>
    <w:lvl w:ilvl="3" w:tplc="35F69C34">
      <w:start w:val="1"/>
      <w:numFmt w:val="decimal"/>
      <w:lvlText w:val="%4."/>
      <w:lvlJc w:val="left"/>
      <w:pPr>
        <w:ind w:left="2880" w:hanging="360"/>
      </w:pPr>
    </w:lvl>
    <w:lvl w:ilvl="4" w:tplc="0974E286">
      <w:start w:val="1"/>
      <w:numFmt w:val="lowerLetter"/>
      <w:lvlText w:val="%5."/>
      <w:lvlJc w:val="left"/>
      <w:pPr>
        <w:ind w:left="3600" w:hanging="360"/>
      </w:pPr>
    </w:lvl>
    <w:lvl w:ilvl="5" w:tplc="B85AF134">
      <w:start w:val="1"/>
      <w:numFmt w:val="lowerRoman"/>
      <w:lvlText w:val="%6."/>
      <w:lvlJc w:val="right"/>
      <w:pPr>
        <w:ind w:left="4320" w:hanging="180"/>
      </w:pPr>
    </w:lvl>
    <w:lvl w:ilvl="6" w:tplc="1AF48CC2">
      <w:start w:val="1"/>
      <w:numFmt w:val="decimal"/>
      <w:lvlText w:val="%7."/>
      <w:lvlJc w:val="left"/>
      <w:pPr>
        <w:ind w:left="5040" w:hanging="360"/>
      </w:pPr>
    </w:lvl>
    <w:lvl w:ilvl="7" w:tplc="81C83E96">
      <w:start w:val="1"/>
      <w:numFmt w:val="lowerLetter"/>
      <w:lvlText w:val="%8."/>
      <w:lvlJc w:val="left"/>
      <w:pPr>
        <w:ind w:left="5760" w:hanging="360"/>
      </w:pPr>
    </w:lvl>
    <w:lvl w:ilvl="8" w:tplc="5AACE640">
      <w:start w:val="1"/>
      <w:numFmt w:val="lowerRoman"/>
      <w:lvlText w:val="%9."/>
      <w:lvlJc w:val="right"/>
      <w:pPr>
        <w:ind w:left="6480" w:hanging="180"/>
      </w:pPr>
    </w:lvl>
  </w:abstractNum>
  <w:abstractNum w:abstractNumId="73" w15:restartNumberingAfterBreak="0">
    <w:nsid w:val="6B946188"/>
    <w:multiLevelType w:val="multilevel"/>
    <w:tmpl w:val="F678F5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6BD811E7"/>
    <w:multiLevelType w:val="multilevel"/>
    <w:tmpl w:val="E14C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D7312E9"/>
    <w:multiLevelType w:val="multilevel"/>
    <w:tmpl w:val="504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D966E33"/>
    <w:multiLevelType w:val="multilevel"/>
    <w:tmpl w:val="E99CA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FD80420"/>
    <w:multiLevelType w:val="multilevel"/>
    <w:tmpl w:val="C736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37279C"/>
    <w:multiLevelType w:val="multilevel"/>
    <w:tmpl w:val="82F4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54B013F"/>
    <w:multiLevelType w:val="multilevel"/>
    <w:tmpl w:val="0362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A5A1200"/>
    <w:multiLevelType w:val="multilevel"/>
    <w:tmpl w:val="6B4C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AD335C1"/>
    <w:multiLevelType w:val="multilevel"/>
    <w:tmpl w:val="E6B07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0E14AE"/>
    <w:multiLevelType w:val="multilevel"/>
    <w:tmpl w:val="0512D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7E7C3673"/>
    <w:multiLevelType w:val="hybridMultilevel"/>
    <w:tmpl w:val="2AB2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547183">
    <w:abstractNumId w:val="3"/>
  </w:num>
  <w:num w:numId="2" w16cid:durableId="2111006375">
    <w:abstractNumId w:val="27"/>
  </w:num>
  <w:num w:numId="3" w16cid:durableId="138964396">
    <w:abstractNumId w:val="13"/>
  </w:num>
  <w:num w:numId="4" w16cid:durableId="1138182488">
    <w:abstractNumId w:val="32"/>
  </w:num>
  <w:num w:numId="5" w16cid:durableId="54403392">
    <w:abstractNumId w:val="19"/>
  </w:num>
  <w:num w:numId="6" w16cid:durableId="1781408748">
    <w:abstractNumId w:val="72"/>
  </w:num>
  <w:num w:numId="7" w16cid:durableId="1437947670">
    <w:abstractNumId w:val="14"/>
  </w:num>
  <w:num w:numId="8" w16cid:durableId="1792627570">
    <w:abstractNumId w:val="37"/>
  </w:num>
  <w:num w:numId="9" w16cid:durableId="1868718957">
    <w:abstractNumId w:val="0"/>
  </w:num>
  <w:num w:numId="10" w16cid:durableId="1567908510">
    <w:abstractNumId w:val="40"/>
  </w:num>
  <w:num w:numId="11" w16cid:durableId="1008292370">
    <w:abstractNumId w:val="44"/>
  </w:num>
  <w:num w:numId="12" w16cid:durableId="1707295147">
    <w:abstractNumId w:val="52"/>
  </w:num>
  <w:num w:numId="13" w16cid:durableId="284383847">
    <w:abstractNumId w:val="79"/>
  </w:num>
  <w:num w:numId="14" w16cid:durableId="763189109">
    <w:abstractNumId w:val="82"/>
  </w:num>
  <w:num w:numId="15" w16cid:durableId="2120710961">
    <w:abstractNumId w:val="61"/>
  </w:num>
  <w:num w:numId="16" w16cid:durableId="185683409">
    <w:abstractNumId w:val="60"/>
  </w:num>
  <w:num w:numId="17" w16cid:durableId="1534221328">
    <w:abstractNumId w:val="12"/>
  </w:num>
  <w:num w:numId="18" w16cid:durableId="307713688">
    <w:abstractNumId w:val="4"/>
  </w:num>
  <w:num w:numId="19" w16cid:durableId="1042705536">
    <w:abstractNumId w:val="66"/>
  </w:num>
  <w:num w:numId="20" w16cid:durableId="711199843">
    <w:abstractNumId w:val="43"/>
  </w:num>
  <w:num w:numId="21" w16cid:durableId="1739473335">
    <w:abstractNumId w:val="64"/>
  </w:num>
  <w:num w:numId="22" w16cid:durableId="328559310">
    <w:abstractNumId w:val="46"/>
  </w:num>
  <w:num w:numId="23" w16cid:durableId="996153801">
    <w:abstractNumId w:val="38"/>
  </w:num>
  <w:num w:numId="24" w16cid:durableId="818232157">
    <w:abstractNumId w:val="76"/>
  </w:num>
  <w:num w:numId="25" w16cid:durableId="63260875">
    <w:abstractNumId w:val="25"/>
  </w:num>
  <w:num w:numId="26" w16cid:durableId="545456412">
    <w:abstractNumId w:val="65"/>
  </w:num>
  <w:num w:numId="27" w16cid:durableId="1671366371">
    <w:abstractNumId w:val="30"/>
  </w:num>
  <w:num w:numId="28" w16cid:durableId="630091612">
    <w:abstractNumId w:val="74"/>
  </w:num>
  <w:num w:numId="29" w16cid:durableId="905645218">
    <w:abstractNumId w:val="73"/>
  </w:num>
  <w:num w:numId="30" w16cid:durableId="1702514126">
    <w:abstractNumId w:val="48"/>
  </w:num>
  <w:num w:numId="31" w16cid:durableId="79062009">
    <w:abstractNumId w:val="34"/>
  </w:num>
  <w:num w:numId="32" w16cid:durableId="196090522">
    <w:abstractNumId w:val="18"/>
  </w:num>
  <w:num w:numId="33" w16cid:durableId="751044248">
    <w:abstractNumId w:val="50"/>
  </w:num>
  <w:num w:numId="34" w16cid:durableId="760682794">
    <w:abstractNumId w:val="31"/>
  </w:num>
  <w:num w:numId="35" w16cid:durableId="2104493021">
    <w:abstractNumId w:val="11"/>
  </w:num>
  <w:num w:numId="36" w16cid:durableId="938608210">
    <w:abstractNumId w:val="77"/>
  </w:num>
  <w:num w:numId="37" w16cid:durableId="742870491">
    <w:abstractNumId w:val="17"/>
  </w:num>
  <w:num w:numId="38" w16cid:durableId="544831683">
    <w:abstractNumId w:val="21"/>
  </w:num>
  <w:num w:numId="39" w16cid:durableId="485164914">
    <w:abstractNumId w:val="29"/>
  </w:num>
  <w:num w:numId="40" w16cid:durableId="132258639">
    <w:abstractNumId w:val="59"/>
  </w:num>
  <w:num w:numId="41" w16cid:durableId="1719477689">
    <w:abstractNumId w:val="56"/>
  </w:num>
  <w:num w:numId="42" w16cid:durableId="908229632">
    <w:abstractNumId w:val="62"/>
  </w:num>
  <w:num w:numId="43" w16cid:durableId="2021396902">
    <w:abstractNumId w:val="54"/>
  </w:num>
  <w:num w:numId="44" w16cid:durableId="11340965">
    <w:abstractNumId w:val="51"/>
  </w:num>
  <w:num w:numId="45" w16cid:durableId="1205823697">
    <w:abstractNumId w:val="45"/>
  </w:num>
  <w:num w:numId="46" w16cid:durableId="1717776861">
    <w:abstractNumId w:val="67"/>
  </w:num>
  <w:num w:numId="47" w16cid:durableId="1331832292">
    <w:abstractNumId w:val="8"/>
  </w:num>
  <w:num w:numId="48" w16cid:durableId="502552006">
    <w:abstractNumId w:val="49"/>
  </w:num>
  <w:num w:numId="49" w16cid:durableId="46416628">
    <w:abstractNumId w:val="58"/>
  </w:num>
  <w:num w:numId="50" w16cid:durableId="489760687">
    <w:abstractNumId w:val="42"/>
  </w:num>
  <w:num w:numId="51" w16cid:durableId="1659571809">
    <w:abstractNumId w:val="7"/>
  </w:num>
  <w:num w:numId="52" w16cid:durableId="1625305430">
    <w:abstractNumId w:val="53"/>
  </w:num>
  <w:num w:numId="53" w16cid:durableId="1657496050">
    <w:abstractNumId w:val="68"/>
  </w:num>
  <w:num w:numId="54" w16cid:durableId="1237668062">
    <w:abstractNumId w:val="55"/>
  </w:num>
  <w:num w:numId="55" w16cid:durableId="2088378153">
    <w:abstractNumId w:val="26"/>
  </w:num>
  <w:num w:numId="56" w16cid:durableId="6559876">
    <w:abstractNumId w:val="28"/>
  </w:num>
  <w:num w:numId="57" w16cid:durableId="140778693">
    <w:abstractNumId w:val="23"/>
  </w:num>
  <w:num w:numId="58" w16cid:durableId="794300727">
    <w:abstractNumId w:val="63"/>
  </w:num>
  <w:num w:numId="59" w16cid:durableId="949432182">
    <w:abstractNumId w:val="33"/>
  </w:num>
  <w:num w:numId="60" w16cid:durableId="1925988115">
    <w:abstractNumId w:val="81"/>
  </w:num>
  <w:num w:numId="61" w16cid:durableId="176312884">
    <w:abstractNumId w:val="1"/>
  </w:num>
  <w:num w:numId="62" w16cid:durableId="161704113">
    <w:abstractNumId w:val="75"/>
  </w:num>
  <w:num w:numId="63" w16cid:durableId="821503333">
    <w:abstractNumId w:val="16"/>
  </w:num>
  <w:num w:numId="64" w16cid:durableId="1199472091">
    <w:abstractNumId w:val="39"/>
  </w:num>
  <w:num w:numId="65" w16cid:durableId="1908884152">
    <w:abstractNumId w:val="10"/>
  </w:num>
  <w:num w:numId="66" w16cid:durableId="613638784">
    <w:abstractNumId w:val="47"/>
  </w:num>
  <w:num w:numId="67" w16cid:durableId="1712534730">
    <w:abstractNumId w:val="6"/>
  </w:num>
  <w:num w:numId="68" w16cid:durableId="850724060">
    <w:abstractNumId w:val="78"/>
  </w:num>
  <w:num w:numId="69" w16cid:durableId="25105772">
    <w:abstractNumId w:val="22"/>
  </w:num>
  <w:num w:numId="70" w16cid:durableId="919830430">
    <w:abstractNumId w:val="80"/>
  </w:num>
  <w:num w:numId="71" w16cid:durableId="1601451555">
    <w:abstractNumId w:val="20"/>
  </w:num>
  <w:num w:numId="72" w16cid:durableId="464584909">
    <w:abstractNumId w:val="24"/>
  </w:num>
  <w:num w:numId="73" w16cid:durableId="113409126">
    <w:abstractNumId w:val="35"/>
  </w:num>
  <w:num w:numId="74" w16cid:durableId="1615089603">
    <w:abstractNumId w:val="41"/>
  </w:num>
  <w:num w:numId="75" w16cid:durableId="581184408">
    <w:abstractNumId w:val="5"/>
  </w:num>
  <w:num w:numId="76" w16cid:durableId="170724208">
    <w:abstractNumId w:val="83"/>
  </w:num>
  <w:num w:numId="77" w16cid:durableId="803893820">
    <w:abstractNumId w:val="36"/>
  </w:num>
  <w:num w:numId="78" w16cid:durableId="1373767080">
    <w:abstractNumId w:val="15"/>
  </w:num>
  <w:num w:numId="79" w16cid:durableId="756756486">
    <w:abstractNumId w:val="9"/>
  </w:num>
  <w:num w:numId="80" w16cid:durableId="1115827021">
    <w:abstractNumId w:val="57"/>
  </w:num>
  <w:num w:numId="81" w16cid:durableId="172690888">
    <w:abstractNumId w:val="70"/>
  </w:num>
  <w:num w:numId="82" w16cid:durableId="1650745542">
    <w:abstractNumId w:val="69"/>
  </w:num>
  <w:num w:numId="83" w16cid:durableId="1438789647">
    <w:abstractNumId w:val="71"/>
  </w:num>
  <w:num w:numId="84" w16cid:durableId="2041129973">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26"/>
    <w:rsid w:val="0000087A"/>
    <w:rsid w:val="00010E0A"/>
    <w:rsid w:val="00014700"/>
    <w:rsid w:val="0001617E"/>
    <w:rsid w:val="00021DBE"/>
    <w:rsid w:val="00035918"/>
    <w:rsid w:val="00036D81"/>
    <w:rsid w:val="0004140C"/>
    <w:rsid w:val="0004218A"/>
    <w:rsid w:val="0004254E"/>
    <w:rsid w:val="000429CF"/>
    <w:rsid w:val="0005248C"/>
    <w:rsid w:val="000557CE"/>
    <w:rsid w:val="00061688"/>
    <w:rsid w:val="00062F0B"/>
    <w:rsid w:val="00063713"/>
    <w:rsid w:val="0006694D"/>
    <w:rsid w:val="00071489"/>
    <w:rsid w:val="00074714"/>
    <w:rsid w:val="00075FBE"/>
    <w:rsid w:val="00085122"/>
    <w:rsid w:val="000875AD"/>
    <w:rsid w:val="0009001D"/>
    <w:rsid w:val="000946C2"/>
    <w:rsid w:val="00097361"/>
    <w:rsid w:val="00097830"/>
    <w:rsid w:val="000A1067"/>
    <w:rsid w:val="000A3C7B"/>
    <w:rsid w:val="000A60EA"/>
    <w:rsid w:val="000B7E5B"/>
    <w:rsid w:val="000C02DF"/>
    <w:rsid w:val="000C0425"/>
    <w:rsid w:val="000C4B53"/>
    <w:rsid w:val="000C5E5A"/>
    <w:rsid w:val="000D1339"/>
    <w:rsid w:val="000D1A41"/>
    <w:rsid w:val="000D3D52"/>
    <w:rsid w:val="000D6184"/>
    <w:rsid w:val="000E21C6"/>
    <w:rsid w:val="000E5682"/>
    <w:rsid w:val="000F4AFB"/>
    <w:rsid w:val="000F68B1"/>
    <w:rsid w:val="000F6D1F"/>
    <w:rsid w:val="00101725"/>
    <w:rsid w:val="0010202C"/>
    <w:rsid w:val="00103EA0"/>
    <w:rsid w:val="00117F65"/>
    <w:rsid w:val="0012243B"/>
    <w:rsid w:val="00124D07"/>
    <w:rsid w:val="00126777"/>
    <w:rsid w:val="00136211"/>
    <w:rsid w:val="00136965"/>
    <w:rsid w:val="00136B87"/>
    <w:rsid w:val="00137531"/>
    <w:rsid w:val="00142B81"/>
    <w:rsid w:val="001443AC"/>
    <w:rsid w:val="0015596F"/>
    <w:rsid w:val="0016095C"/>
    <w:rsid w:val="00162DB2"/>
    <w:rsid w:val="00165701"/>
    <w:rsid w:val="00173862"/>
    <w:rsid w:val="001836B7"/>
    <w:rsid w:val="00184E63"/>
    <w:rsid w:val="00187EB7"/>
    <w:rsid w:val="0019031A"/>
    <w:rsid w:val="00196C03"/>
    <w:rsid w:val="001A19E4"/>
    <w:rsid w:val="001A2525"/>
    <w:rsid w:val="001A2A77"/>
    <w:rsid w:val="001B000A"/>
    <w:rsid w:val="001B01C2"/>
    <w:rsid w:val="001B6A40"/>
    <w:rsid w:val="001C7A7E"/>
    <w:rsid w:val="001D0092"/>
    <w:rsid w:val="001D0F9D"/>
    <w:rsid w:val="001D176F"/>
    <w:rsid w:val="001D3053"/>
    <w:rsid w:val="001D42A6"/>
    <w:rsid w:val="001D72D5"/>
    <w:rsid w:val="001E6485"/>
    <w:rsid w:val="001F085A"/>
    <w:rsid w:val="002000CB"/>
    <w:rsid w:val="002009DB"/>
    <w:rsid w:val="002037C0"/>
    <w:rsid w:val="00205B39"/>
    <w:rsid w:val="00211484"/>
    <w:rsid w:val="00217008"/>
    <w:rsid w:val="00222A3A"/>
    <w:rsid w:val="00223493"/>
    <w:rsid w:val="002248D5"/>
    <w:rsid w:val="002479BA"/>
    <w:rsid w:val="002624F7"/>
    <w:rsid w:val="00262CFE"/>
    <w:rsid w:val="00262D64"/>
    <w:rsid w:val="0026393B"/>
    <w:rsid w:val="00264EAA"/>
    <w:rsid w:val="00272E06"/>
    <w:rsid w:val="002805D8"/>
    <w:rsid w:val="00281A5D"/>
    <w:rsid w:val="00282B7E"/>
    <w:rsid w:val="00284563"/>
    <w:rsid w:val="002864C7"/>
    <w:rsid w:val="0028757A"/>
    <w:rsid w:val="002876C7"/>
    <w:rsid w:val="002905B1"/>
    <w:rsid w:val="002971CA"/>
    <w:rsid w:val="002A53AB"/>
    <w:rsid w:val="002A77F2"/>
    <w:rsid w:val="002B3A7F"/>
    <w:rsid w:val="002B74F7"/>
    <w:rsid w:val="002C7960"/>
    <w:rsid w:val="002F3A6E"/>
    <w:rsid w:val="002F7FCA"/>
    <w:rsid w:val="00305FF2"/>
    <w:rsid w:val="003123C1"/>
    <w:rsid w:val="00315131"/>
    <w:rsid w:val="00322670"/>
    <w:rsid w:val="003226F3"/>
    <w:rsid w:val="00323C80"/>
    <w:rsid w:val="00341560"/>
    <w:rsid w:val="003443BA"/>
    <w:rsid w:val="00345396"/>
    <w:rsid w:val="0034599C"/>
    <w:rsid w:val="003522D7"/>
    <w:rsid w:val="003570E8"/>
    <w:rsid w:val="0036013E"/>
    <w:rsid w:val="00363843"/>
    <w:rsid w:val="00370750"/>
    <w:rsid w:val="00370F73"/>
    <w:rsid w:val="00382B40"/>
    <w:rsid w:val="00383754"/>
    <w:rsid w:val="0038759D"/>
    <w:rsid w:val="00394878"/>
    <w:rsid w:val="003A0F1F"/>
    <w:rsid w:val="003A2148"/>
    <w:rsid w:val="003A5A20"/>
    <w:rsid w:val="003A6487"/>
    <w:rsid w:val="003B3B3C"/>
    <w:rsid w:val="003C2EE3"/>
    <w:rsid w:val="003C6579"/>
    <w:rsid w:val="003E4829"/>
    <w:rsid w:val="003E50AC"/>
    <w:rsid w:val="003E55AC"/>
    <w:rsid w:val="003E78A0"/>
    <w:rsid w:val="003F0C07"/>
    <w:rsid w:val="00401915"/>
    <w:rsid w:val="004024B8"/>
    <w:rsid w:val="00404B07"/>
    <w:rsid w:val="00412D8C"/>
    <w:rsid w:val="0041615F"/>
    <w:rsid w:val="00416821"/>
    <w:rsid w:val="004178BA"/>
    <w:rsid w:val="00425A95"/>
    <w:rsid w:val="00425DD8"/>
    <w:rsid w:val="00426BCD"/>
    <w:rsid w:val="00447172"/>
    <w:rsid w:val="00447753"/>
    <w:rsid w:val="004511AD"/>
    <w:rsid w:val="00451548"/>
    <w:rsid w:val="00451985"/>
    <w:rsid w:val="004551C2"/>
    <w:rsid w:val="004553EC"/>
    <w:rsid w:val="0045605A"/>
    <w:rsid w:val="00462D83"/>
    <w:rsid w:val="004706D2"/>
    <w:rsid w:val="00470727"/>
    <w:rsid w:val="004713BB"/>
    <w:rsid w:val="0048291D"/>
    <w:rsid w:val="0048437E"/>
    <w:rsid w:val="00490118"/>
    <w:rsid w:val="004933D9"/>
    <w:rsid w:val="004933EA"/>
    <w:rsid w:val="004934A6"/>
    <w:rsid w:val="004971BE"/>
    <w:rsid w:val="004A3000"/>
    <w:rsid w:val="004A46D2"/>
    <w:rsid w:val="004B32C5"/>
    <w:rsid w:val="004C1440"/>
    <w:rsid w:val="004D04C9"/>
    <w:rsid w:val="004E01B4"/>
    <w:rsid w:val="004E1683"/>
    <w:rsid w:val="004F0D88"/>
    <w:rsid w:val="004F4117"/>
    <w:rsid w:val="00500E71"/>
    <w:rsid w:val="0050195B"/>
    <w:rsid w:val="00525ECE"/>
    <w:rsid w:val="005277E4"/>
    <w:rsid w:val="0053616A"/>
    <w:rsid w:val="005416C2"/>
    <w:rsid w:val="00550937"/>
    <w:rsid w:val="00567152"/>
    <w:rsid w:val="00567658"/>
    <w:rsid w:val="00574309"/>
    <w:rsid w:val="00577FF2"/>
    <w:rsid w:val="0058091B"/>
    <w:rsid w:val="005850EB"/>
    <w:rsid w:val="00590B0A"/>
    <w:rsid w:val="00594ADA"/>
    <w:rsid w:val="00594D4F"/>
    <w:rsid w:val="00596CD8"/>
    <w:rsid w:val="005A567A"/>
    <w:rsid w:val="005B238F"/>
    <w:rsid w:val="005D0F8D"/>
    <w:rsid w:val="005D6840"/>
    <w:rsid w:val="005E5317"/>
    <w:rsid w:val="005F21E4"/>
    <w:rsid w:val="005F220F"/>
    <w:rsid w:val="005F393E"/>
    <w:rsid w:val="005F799E"/>
    <w:rsid w:val="005F7C89"/>
    <w:rsid w:val="00601399"/>
    <w:rsid w:val="006168F2"/>
    <w:rsid w:val="00621BB9"/>
    <w:rsid w:val="00626656"/>
    <w:rsid w:val="00627A24"/>
    <w:rsid w:val="00640388"/>
    <w:rsid w:val="00652DCE"/>
    <w:rsid w:val="00657CF6"/>
    <w:rsid w:val="006607C0"/>
    <w:rsid w:val="006621F6"/>
    <w:rsid w:val="006623B9"/>
    <w:rsid w:val="00662C4A"/>
    <w:rsid w:val="00663FA3"/>
    <w:rsid w:val="00670AFE"/>
    <w:rsid w:val="0067684E"/>
    <w:rsid w:val="006844C5"/>
    <w:rsid w:val="00693D92"/>
    <w:rsid w:val="00694267"/>
    <w:rsid w:val="00697C71"/>
    <w:rsid w:val="006A2253"/>
    <w:rsid w:val="006A26BF"/>
    <w:rsid w:val="006B2A1C"/>
    <w:rsid w:val="006B440C"/>
    <w:rsid w:val="006C206F"/>
    <w:rsid w:val="006C5372"/>
    <w:rsid w:val="006C58BA"/>
    <w:rsid w:val="006E0E18"/>
    <w:rsid w:val="006E0F54"/>
    <w:rsid w:val="006E218B"/>
    <w:rsid w:val="006E49DA"/>
    <w:rsid w:val="007006CA"/>
    <w:rsid w:val="00705898"/>
    <w:rsid w:val="00713E19"/>
    <w:rsid w:val="007177ED"/>
    <w:rsid w:val="00724346"/>
    <w:rsid w:val="00727BDB"/>
    <w:rsid w:val="00731F89"/>
    <w:rsid w:val="007402D4"/>
    <w:rsid w:val="00740B81"/>
    <w:rsid w:val="007423BC"/>
    <w:rsid w:val="00752F65"/>
    <w:rsid w:val="00754A72"/>
    <w:rsid w:val="00755C4C"/>
    <w:rsid w:val="00764478"/>
    <w:rsid w:val="00767A2C"/>
    <w:rsid w:val="00770DDB"/>
    <w:rsid w:val="00772A6B"/>
    <w:rsid w:val="0077771C"/>
    <w:rsid w:val="007828F3"/>
    <w:rsid w:val="00784BE2"/>
    <w:rsid w:val="007858EE"/>
    <w:rsid w:val="007859B2"/>
    <w:rsid w:val="00795B6F"/>
    <w:rsid w:val="007960BE"/>
    <w:rsid w:val="007A063D"/>
    <w:rsid w:val="007A11B9"/>
    <w:rsid w:val="007A65F9"/>
    <w:rsid w:val="007B1E5C"/>
    <w:rsid w:val="007B6BE4"/>
    <w:rsid w:val="007C7914"/>
    <w:rsid w:val="007D15D5"/>
    <w:rsid w:val="007D3A5B"/>
    <w:rsid w:val="007D43EB"/>
    <w:rsid w:val="007D4BDE"/>
    <w:rsid w:val="007E2FAF"/>
    <w:rsid w:val="007E5347"/>
    <w:rsid w:val="007F08BE"/>
    <w:rsid w:val="007F4087"/>
    <w:rsid w:val="00800898"/>
    <w:rsid w:val="00811D68"/>
    <w:rsid w:val="008122BA"/>
    <w:rsid w:val="00813998"/>
    <w:rsid w:val="008141E6"/>
    <w:rsid w:val="0082016C"/>
    <w:rsid w:val="00833B7C"/>
    <w:rsid w:val="00834D60"/>
    <w:rsid w:val="008435CA"/>
    <w:rsid w:val="00843B73"/>
    <w:rsid w:val="00843BC0"/>
    <w:rsid w:val="00853722"/>
    <w:rsid w:val="00854C71"/>
    <w:rsid w:val="00857A1B"/>
    <w:rsid w:val="00861D6F"/>
    <w:rsid w:val="0086289F"/>
    <w:rsid w:val="00863F43"/>
    <w:rsid w:val="008643B6"/>
    <w:rsid w:val="0086747D"/>
    <w:rsid w:val="00867E83"/>
    <w:rsid w:val="00874C57"/>
    <w:rsid w:val="00880F18"/>
    <w:rsid w:val="00882C39"/>
    <w:rsid w:val="008843D2"/>
    <w:rsid w:val="00884C3A"/>
    <w:rsid w:val="008A11C7"/>
    <w:rsid w:val="008A2581"/>
    <w:rsid w:val="008A34D6"/>
    <w:rsid w:val="008B4057"/>
    <w:rsid w:val="008B7361"/>
    <w:rsid w:val="008C0A64"/>
    <w:rsid w:val="008C155D"/>
    <w:rsid w:val="008C3695"/>
    <w:rsid w:val="008C4AF0"/>
    <w:rsid w:val="008D00FD"/>
    <w:rsid w:val="008D102F"/>
    <w:rsid w:val="008D3F01"/>
    <w:rsid w:val="008D7255"/>
    <w:rsid w:val="008E109C"/>
    <w:rsid w:val="008F09C3"/>
    <w:rsid w:val="008F2D10"/>
    <w:rsid w:val="008F2EBA"/>
    <w:rsid w:val="008F7600"/>
    <w:rsid w:val="0090168B"/>
    <w:rsid w:val="0090499D"/>
    <w:rsid w:val="0091021C"/>
    <w:rsid w:val="00911FA8"/>
    <w:rsid w:val="00917ECB"/>
    <w:rsid w:val="009216AA"/>
    <w:rsid w:val="00943B68"/>
    <w:rsid w:val="00947392"/>
    <w:rsid w:val="00953F73"/>
    <w:rsid w:val="00956E1E"/>
    <w:rsid w:val="0096367C"/>
    <w:rsid w:val="00970B65"/>
    <w:rsid w:val="009723DF"/>
    <w:rsid w:val="00980783"/>
    <w:rsid w:val="0098083B"/>
    <w:rsid w:val="009835EE"/>
    <w:rsid w:val="0098471F"/>
    <w:rsid w:val="009863A9"/>
    <w:rsid w:val="00986FA4"/>
    <w:rsid w:val="00987DD7"/>
    <w:rsid w:val="00990ED5"/>
    <w:rsid w:val="00994C44"/>
    <w:rsid w:val="00995582"/>
    <w:rsid w:val="009A0BCF"/>
    <w:rsid w:val="009A355A"/>
    <w:rsid w:val="009A4379"/>
    <w:rsid w:val="009A7480"/>
    <w:rsid w:val="009A7B63"/>
    <w:rsid w:val="009B3395"/>
    <w:rsid w:val="009B49CF"/>
    <w:rsid w:val="009B67AB"/>
    <w:rsid w:val="009C3FD8"/>
    <w:rsid w:val="009C5C9F"/>
    <w:rsid w:val="009D0689"/>
    <w:rsid w:val="009D0A56"/>
    <w:rsid w:val="009D6812"/>
    <w:rsid w:val="009E087E"/>
    <w:rsid w:val="009E360A"/>
    <w:rsid w:val="009E3C02"/>
    <w:rsid w:val="009E43C4"/>
    <w:rsid w:val="009F18DC"/>
    <w:rsid w:val="009F2601"/>
    <w:rsid w:val="009F35C3"/>
    <w:rsid w:val="00A00C39"/>
    <w:rsid w:val="00A01CB1"/>
    <w:rsid w:val="00A05C22"/>
    <w:rsid w:val="00A079D2"/>
    <w:rsid w:val="00A07EC1"/>
    <w:rsid w:val="00A10052"/>
    <w:rsid w:val="00A10518"/>
    <w:rsid w:val="00A10F51"/>
    <w:rsid w:val="00A127D6"/>
    <w:rsid w:val="00A20014"/>
    <w:rsid w:val="00A21AA9"/>
    <w:rsid w:val="00A32BF8"/>
    <w:rsid w:val="00A34D99"/>
    <w:rsid w:val="00A37EBA"/>
    <w:rsid w:val="00A4412C"/>
    <w:rsid w:val="00A46F60"/>
    <w:rsid w:val="00A47901"/>
    <w:rsid w:val="00A65D88"/>
    <w:rsid w:val="00A670FD"/>
    <w:rsid w:val="00A76E51"/>
    <w:rsid w:val="00A80245"/>
    <w:rsid w:val="00A85EA3"/>
    <w:rsid w:val="00A86254"/>
    <w:rsid w:val="00A86626"/>
    <w:rsid w:val="00A87A15"/>
    <w:rsid w:val="00A922C7"/>
    <w:rsid w:val="00A947A3"/>
    <w:rsid w:val="00A97926"/>
    <w:rsid w:val="00AA04C9"/>
    <w:rsid w:val="00AA47FC"/>
    <w:rsid w:val="00AB5B0F"/>
    <w:rsid w:val="00AC1B5E"/>
    <w:rsid w:val="00AC5395"/>
    <w:rsid w:val="00AD1F0C"/>
    <w:rsid w:val="00AD3957"/>
    <w:rsid w:val="00AD4F9C"/>
    <w:rsid w:val="00AE311A"/>
    <w:rsid w:val="00AE3390"/>
    <w:rsid w:val="00AE3760"/>
    <w:rsid w:val="00AE5D3F"/>
    <w:rsid w:val="00AF0DCF"/>
    <w:rsid w:val="00AF18CF"/>
    <w:rsid w:val="00AF5A8A"/>
    <w:rsid w:val="00B06991"/>
    <w:rsid w:val="00B069E7"/>
    <w:rsid w:val="00B11D5D"/>
    <w:rsid w:val="00B22B15"/>
    <w:rsid w:val="00B23EB3"/>
    <w:rsid w:val="00B24310"/>
    <w:rsid w:val="00B31265"/>
    <w:rsid w:val="00B3205D"/>
    <w:rsid w:val="00B33F61"/>
    <w:rsid w:val="00B363E2"/>
    <w:rsid w:val="00B37DD0"/>
    <w:rsid w:val="00B37DF5"/>
    <w:rsid w:val="00B421C9"/>
    <w:rsid w:val="00B4470B"/>
    <w:rsid w:val="00B51A06"/>
    <w:rsid w:val="00B52D12"/>
    <w:rsid w:val="00B53D03"/>
    <w:rsid w:val="00B6046D"/>
    <w:rsid w:val="00B60AC4"/>
    <w:rsid w:val="00B6413F"/>
    <w:rsid w:val="00B66046"/>
    <w:rsid w:val="00B66CFC"/>
    <w:rsid w:val="00B7087B"/>
    <w:rsid w:val="00B72D99"/>
    <w:rsid w:val="00B77E97"/>
    <w:rsid w:val="00B831ED"/>
    <w:rsid w:val="00B95A9F"/>
    <w:rsid w:val="00B96C9E"/>
    <w:rsid w:val="00BA1C1A"/>
    <w:rsid w:val="00BA273A"/>
    <w:rsid w:val="00BB20B4"/>
    <w:rsid w:val="00BB4A21"/>
    <w:rsid w:val="00BB7391"/>
    <w:rsid w:val="00BC399A"/>
    <w:rsid w:val="00BC490C"/>
    <w:rsid w:val="00BC55F6"/>
    <w:rsid w:val="00BD1D2E"/>
    <w:rsid w:val="00BE025B"/>
    <w:rsid w:val="00BE6FCC"/>
    <w:rsid w:val="00BF1481"/>
    <w:rsid w:val="00BF77F1"/>
    <w:rsid w:val="00C01B02"/>
    <w:rsid w:val="00C0446D"/>
    <w:rsid w:val="00C0481B"/>
    <w:rsid w:val="00C05273"/>
    <w:rsid w:val="00C05E15"/>
    <w:rsid w:val="00C10418"/>
    <w:rsid w:val="00C17412"/>
    <w:rsid w:val="00C17FE4"/>
    <w:rsid w:val="00C21372"/>
    <w:rsid w:val="00C2146A"/>
    <w:rsid w:val="00C26771"/>
    <w:rsid w:val="00C30C44"/>
    <w:rsid w:val="00C31F96"/>
    <w:rsid w:val="00C35F97"/>
    <w:rsid w:val="00C42F58"/>
    <w:rsid w:val="00C46A9B"/>
    <w:rsid w:val="00C520CB"/>
    <w:rsid w:val="00C57F09"/>
    <w:rsid w:val="00C604B2"/>
    <w:rsid w:val="00C60680"/>
    <w:rsid w:val="00C60F59"/>
    <w:rsid w:val="00C65384"/>
    <w:rsid w:val="00C75AFB"/>
    <w:rsid w:val="00C775FD"/>
    <w:rsid w:val="00C853F7"/>
    <w:rsid w:val="00C8712C"/>
    <w:rsid w:val="00C91688"/>
    <w:rsid w:val="00C91EC0"/>
    <w:rsid w:val="00C92B93"/>
    <w:rsid w:val="00CA1D59"/>
    <w:rsid w:val="00CA4E0A"/>
    <w:rsid w:val="00CC107D"/>
    <w:rsid w:val="00CC5A8C"/>
    <w:rsid w:val="00CC5DE5"/>
    <w:rsid w:val="00CD1186"/>
    <w:rsid w:val="00CD17D2"/>
    <w:rsid w:val="00CD7012"/>
    <w:rsid w:val="00CE7449"/>
    <w:rsid w:val="00CF47B9"/>
    <w:rsid w:val="00CF5E2B"/>
    <w:rsid w:val="00CF6B95"/>
    <w:rsid w:val="00D00A97"/>
    <w:rsid w:val="00D0146E"/>
    <w:rsid w:val="00D1328D"/>
    <w:rsid w:val="00D16171"/>
    <w:rsid w:val="00D2605A"/>
    <w:rsid w:val="00D407B8"/>
    <w:rsid w:val="00D43E55"/>
    <w:rsid w:val="00D44C43"/>
    <w:rsid w:val="00D51E08"/>
    <w:rsid w:val="00D52DE2"/>
    <w:rsid w:val="00D54400"/>
    <w:rsid w:val="00D55543"/>
    <w:rsid w:val="00D561A4"/>
    <w:rsid w:val="00D744E3"/>
    <w:rsid w:val="00D74F58"/>
    <w:rsid w:val="00D76974"/>
    <w:rsid w:val="00D869B7"/>
    <w:rsid w:val="00D87CBB"/>
    <w:rsid w:val="00D93DEC"/>
    <w:rsid w:val="00D9505B"/>
    <w:rsid w:val="00D96EEC"/>
    <w:rsid w:val="00DA4D38"/>
    <w:rsid w:val="00DB2EC2"/>
    <w:rsid w:val="00DB7E32"/>
    <w:rsid w:val="00DC0B91"/>
    <w:rsid w:val="00DC22DE"/>
    <w:rsid w:val="00DD3AC5"/>
    <w:rsid w:val="00DE4AAE"/>
    <w:rsid w:val="00DF2405"/>
    <w:rsid w:val="00DF3C30"/>
    <w:rsid w:val="00E006B3"/>
    <w:rsid w:val="00E02019"/>
    <w:rsid w:val="00E03E48"/>
    <w:rsid w:val="00E03E79"/>
    <w:rsid w:val="00E0554E"/>
    <w:rsid w:val="00E07821"/>
    <w:rsid w:val="00E15C50"/>
    <w:rsid w:val="00E173DD"/>
    <w:rsid w:val="00E37695"/>
    <w:rsid w:val="00E40899"/>
    <w:rsid w:val="00E42011"/>
    <w:rsid w:val="00E45585"/>
    <w:rsid w:val="00E472A6"/>
    <w:rsid w:val="00E473A9"/>
    <w:rsid w:val="00E5229F"/>
    <w:rsid w:val="00E53BF3"/>
    <w:rsid w:val="00E553F2"/>
    <w:rsid w:val="00E7451C"/>
    <w:rsid w:val="00E76D2B"/>
    <w:rsid w:val="00E81A24"/>
    <w:rsid w:val="00E82103"/>
    <w:rsid w:val="00E87856"/>
    <w:rsid w:val="00E962D0"/>
    <w:rsid w:val="00E97580"/>
    <w:rsid w:val="00EA445C"/>
    <w:rsid w:val="00EB7173"/>
    <w:rsid w:val="00EC7ACC"/>
    <w:rsid w:val="00ED14E9"/>
    <w:rsid w:val="00ED2B6E"/>
    <w:rsid w:val="00EE00F4"/>
    <w:rsid w:val="00EE2E9E"/>
    <w:rsid w:val="00EF30A5"/>
    <w:rsid w:val="00EF6F1E"/>
    <w:rsid w:val="00F017FE"/>
    <w:rsid w:val="00F022CF"/>
    <w:rsid w:val="00F1094A"/>
    <w:rsid w:val="00F12FB3"/>
    <w:rsid w:val="00F158BE"/>
    <w:rsid w:val="00F16BE3"/>
    <w:rsid w:val="00F218EF"/>
    <w:rsid w:val="00F31F7A"/>
    <w:rsid w:val="00F34693"/>
    <w:rsid w:val="00F36E7F"/>
    <w:rsid w:val="00F374BB"/>
    <w:rsid w:val="00F465AA"/>
    <w:rsid w:val="00F4770B"/>
    <w:rsid w:val="00F56256"/>
    <w:rsid w:val="00F56592"/>
    <w:rsid w:val="00F57C2A"/>
    <w:rsid w:val="00F57F5C"/>
    <w:rsid w:val="00F6309B"/>
    <w:rsid w:val="00F6533A"/>
    <w:rsid w:val="00F66879"/>
    <w:rsid w:val="00F66AFD"/>
    <w:rsid w:val="00F70D69"/>
    <w:rsid w:val="00F73E2B"/>
    <w:rsid w:val="00F753BE"/>
    <w:rsid w:val="00F7771B"/>
    <w:rsid w:val="00F8236A"/>
    <w:rsid w:val="00F87EEF"/>
    <w:rsid w:val="00F90547"/>
    <w:rsid w:val="00F91083"/>
    <w:rsid w:val="00F94C6C"/>
    <w:rsid w:val="00FA0370"/>
    <w:rsid w:val="00FA06E1"/>
    <w:rsid w:val="00FA4809"/>
    <w:rsid w:val="00FB1131"/>
    <w:rsid w:val="00FB1558"/>
    <w:rsid w:val="00FB1827"/>
    <w:rsid w:val="00FB1882"/>
    <w:rsid w:val="00FB2109"/>
    <w:rsid w:val="00FB7370"/>
    <w:rsid w:val="00FC1E78"/>
    <w:rsid w:val="00FC5A70"/>
    <w:rsid w:val="00FC6B7B"/>
    <w:rsid w:val="00FD4DB0"/>
    <w:rsid w:val="00FD587F"/>
    <w:rsid w:val="00FD62D9"/>
    <w:rsid w:val="00FD65FB"/>
    <w:rsid w:val="00FD6CCF"/>
    <w:rsid w:val="00FE7A36"/>
    <w:rsid w:val="00FF6576"/>
    <w:rsid w:val="00FF69B5"/>
    <w:rsid w:val="07D68AEC"/>
    <w:rsid w:val="0E0CD42A"/>
    <w:rsid w:val="125C6173"/>
    <w:rsid w:val="12995774"/>
    <w:rsid w:val="12B15671"/>
    <w:rsid w:val="1A9073F1"/>
    <w:rsid w:val="1AC6925E"/>
    <w:rsid w:val="21662357"/>
    <w:rsid w:val="24191063"/>
    <w:rsid w:val="2977167F"/>
    <w:rsid w:val="2CC7D9A3"/>
    <w:rsid w:val="3BB84A9B"/>
    <w:rsid w:val="3DEE8409"/>
    <w:rsid w:val="48E065F4"/>
    <w:rsid w:val="5A081114"/>
    <w:rsid w:val="5EBDB001"/>
    <w:rsid w:val="70449081"/>
    <w:rsid w:val="71AABB52"/>
    <w:rsid w:val="7314A9F3"/>
    <w:rsid w:val="763A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391A"/>
  <w15:chartTrackingRefBased/>
  <w15:docId w15:val="{FBA3C483-B1E7-4F66-8AC5-127C1201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62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8662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8662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8662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8662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866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6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6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6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62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8662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8662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8662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8662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86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626"/>
    <w:rPr>
      <w:rFonts w:eastAsiaTheme="majorEastAsia" w:cstheme="majorBidi"/>
      <w:color w:val="272727" w:themeColor="text1" w:themeTint="D8"/>
    </w:rPr>
  </w:style>
  <w:style w:type="paragraph" w:styleId="Title">
    <w:name w:val="Title"/>
    <w:basedOn w:val="Normal"/>
    <w:next w:val="Normal"/>
    <w:link w:val="TitleChar"/>
    <w:uiPriority w:val="10"/>
    <w:qFormat/>
    <w:rsid w:val="00A86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6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626"/>
    <w:pPr>
      <w:spacing w:before="160"/>
      <w:jc w:val="center"/>
    </w:pPr>
    <w:rPr>
      <w:i/>
      <w:iCs/>
      <w:color w:val="404040" w:themeColor="text1" w:themeTint="BF"/>
    </w:rPr>
  </w:style>
  <w:style w:type="character" w:customStyle="1" w:styleId="QuoteChar">
    <w:name w:val="Quote Char"/>
    <w:basedOn w:val="DefaultParagraphFont"/>
    <w:link w:val="Quote"/>
    <w:uiPriority w:val="29"/>
    <w:rsid w:val="00A86626"/>
    <w:rPr>
      <w:i/>
      <w:iCs/>
      <w:color w:val="404040" w:themeColor="text1" w:themeTint="BF"/>
    </w:rPr>
  </w:style>
  <w:style w:type="paragraph" w:styleId="ListParagraph">
    <w:name w:val="List Paragraph"/>
    <w:basedOn w:val="Normal"/>
    <w:uiPriority w:val="34"/>
    <w:qFormat/>
    <w:rsid w:val="00A86626"/>
    <w:pPr>
      <w:ind w:left="720"/>
      <w:contextualSpacing/>
    </w:pPr>
  </w:style>
  <w:style w:type="character" w:styleId="IntenseEmphasis">
    <w:name w:val="Intense Emphasis"/>
    <w:basedOn w:val="DefaultParagraphFont"/>
    <w:uiPriority w:val="21"/>
    <w:qFormat/>
    <w:rsid w:val="00A86626"/>
    <w:rPr>
      <w:i/>
      <w:iCs/>
      <w:color w:val="2E74B5" w:themeColor="accent1" w:themeShade="BF"/>
    </w:rPr>
  </w:style>
  <w:style w:type="paragraph" w:styleId="IntenseQuote">
    <w:name w:val="Intense Quote"/>
    <w:basedOn w:val="Normal"/>
    <w:next w:val="Normal"/>
    <w:link w:val="IntenseQuoteChar"/>
    <w:uiPriority w:val="30"/>
    <w:qFormat/>
    <w:rsid w:val="00A866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86626"/>
    <w:rPr>
      <w:i/>
      <w:iCs/>
      <w:color w:val="2E74B5" w:themeColor="accent1" w:themeShade="BF"/>
    </w:rPr>
  </w:style>
  <w:style w:type="character" w:styleId="IntenseReference">
    <w:name w:val="Intense Reference"/>
    <w:basedOn w:val="DefaultParagraphFont"/>
    <w:uiPriority w:val="32"/>
    <w:qFormat/>
    <w:rsid w:val="00A86626"/>
    <w:rPr>
      <w:b/>
      <w:bCs/>
      <w:smallCaps/>
      <w:color w:val="2E74B5" w:themeColor="accent1" w:themeShade="BF"/>
      <w:spacing w:val="5"/>
    </w:rPr>
  </w:style>
  <w:style w:type="character" w:styleId="Hyperlink">
    <w:name w:val="Hyperlink"/>
    <w:basedOn w:val="DefaultParagraphFont"/>
    <w:uiPriority w:val="99"/>
    <w:unhideWhenUsed/>
    <w:rsid w:val="00A86626"/>
    <w:rPr>
      <w:color w:val="0563C1" w:themeColor="hyperlink"/>
      <w:u w:val="single"/>
    </w:rPr>
  </w:style>
  <w:style w:type="character" w:styleId="UnresolvedMention">
    <w:name w:val="Unresolved Mention"/>
    <w:basedOn w:val="DefaultParagraphFont"/>
    <w:uiPriority w:val="99"/>
    <w:semiHidden/>
    <w:unhideWhenUsed/>
    <w:rsid w:val="00A86626"/>
    <w:rPr>
      <w:color w:val="605E5C"/>
      <w:shd w:val="clear" w:color="auto" w:fill="E1DFDD"/>
    </w:rPr>
  </w:style>
  <w:style w:type="character" w:styleId="FollowedHyperlink">
    <w:name w:val="FollowedHyperlink"/>
    <w:basedOn w:val="DefaultParagraphFont"/>
    <w:uiPriority w:val="99"/>
    <w:semiHidden/>
    <w:unhideWhenUsed/>
    <w:rsid w:val="004934A6"/>
    <w:rPr>
      <w:color w:val="954F72" w:themeColor="followedHyperlink"/>
      <w:u w:val="single"/>
    </w:rPr>
  </w:style>
  <w:style w:type="paragraph" w:styleId="EndnoteText">
    <w:name w:val="endnote text"/>
    <w:basedOn w:val="Normal"/>
    <w:link w:val="EndnoteTextChar"/>
    <w:uiPriority w:val="99"/>
    <w:semiHidden/>
    <w:unhideWhenUsed/>
    <w:rsid w:val="00205B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5B39"/>
    <w:rPr>
      <w:sz w:val="20"/>
      <w:szCs w:val="20"/>
    </w:rPr>
  </w:style>
  <w:style w:type="character" w:styleId="EndnoteReference">
    <w:name w:val="endnote reference"/>
    <w:basedOn w:val="DefaultParagraphFont"/>
    <w:uiPriority w:val="99"/>
    <w:semiHidden/>
    <w:unhideWhenUsed/>
    <w:rsid w:val="00205B39"/>
    <w:rPr>
      <w:vertAlign w:val="superscript"/>
    </w:rPr>
  </w:style>
  <w:style w:type="character" w:styleId="CommentReference">
    <w:name w:val="annotation reference"/>
    <w:basedOn w:val="DefaultParagraphFont"/>
    <w:uiPriority w:val="99"/>
    <w:semiHidden/>
    <w:unhideWhenUsed/>
    <w:rsid w:val="00E45585"/>
    <w:rPr>
      <w:sz w:val="16"/>
      <w:szCs w:val="16"/>
    </w:rPr>
  </w:style>
  <w:style w:type="paragraph" w:styleId="CommentText">
    <w:name w:val="annotation text"/>
    <w:basedOn w:val="Normal"/>
    <w:link w:val="CommentTextChar"/>
    <w:uiPriority w:val="99"/>
    <w:unhideWhenUsed/>
    <w:rsid w:val="00E45585"/>
    <w:pPr>
      <w:spacing w:line="240" w:lineRule="auto"/>
    </w:pPr>
    <w:rPr>
      <w:sz w:val="20"/>
      <w:szCs w:val="20"/>
    </w:rPr>
  </w:style>
  <w:style w:type="character" w:customStyle="1" w:styleId="CommentTextChar">
    <w:name w:val="Comment Text Char"/>
    <w:basedOn w:val="DefaultParagraphFont"/>
    <w:link w:val="CommentText"/>
    <w:uiPriority w:val="99"/>
    <w:rsid w:val="00E45585"/>
    <w:rPr>
      <w:sz w:val="20"/>
      <w:szCs w:val="20"/>
    </w:rPr>
  </w:style>
  <w:style w:type="paragraph" w:styleId="CommentSubject">
    <w:name w:val="annotation subject"/>
    <w:basedOn w:val="CommentText"/>
    <w:next w:val="CommentText"/>
    <w:link w:val="CommentSubjectChar"/>
    <w:uiPriority w:val="99"/>
    <w:semiHidden/>
    <w:unhideWhenUsed/>
    <w:rsid w:val="00E45585"/>
    <w:rPr>
      <w:b/>
      <w:bCs/>
    </w:rPr>
  </w:style>
  <w:style w:type="character" w:customStyle="1" w:styleId="CommentSubjectChar">
    <w:name w:val="Comment Subject Char"/>
    <w:basedOn w:val="CommentTextChar"/>
    <w:link w:val="CommentSubject"/>
    <w:uiPriority w:val="99"/>
    <w:semiHidden/>
    <w:rsid w:val="00E45585"/>
    <w:rPr>
      <w:b/>
      <w:bCs/>
      <w:sz w:val="20"/>
      <w:szCs w:val="20"/>
    </w:rPr>
  </w:style>
  <w:style w:type="paragraph" w:styleId="Revision">
    <w:name w:val="Revision"/>
    <w:hidden/>
    <w:uiPriority w:val="99"/>
    <w:semiHidden/>
    <w:rsid w:val="003F0C07"/>
    <w:pPr>
      <w:spacing w:after="0" w:line="240" w:lineRule="auto"/>
    </w:pPr>
  </w:style>
  <w:style w:type="paragraph" w:styleId="FootnoteText">
    <w:name w:val="footnote text"/>
    <w:basedOn w:val="Normal"/>
    <w:link w:val="FootnoteTextChar"/>
    <w:uiPriority w:val="99"/>
    <w:unhideWhenUsed/>
    <w:rsid w:val="003C6579"/>
    <w:pPr>
      <w:spacing w:after="0" w:line="240" w:lineRule="auto"/>
    </w:pPr>
    <w:rPr>
      <w:rFonts w:ascii="Graphik Regular" w:eastAsia="Graphik Regular" w:hAnsi="Graphik Regular" w:cs="Graphik Regular"/>
      <w:kern w:val="0"/>
      <w:sz w:val="20"/>
      <w:szCs w:val="20"/>
      <w14:ligatures w14:val="none"/>
    </w:rPr>
  </w:style>
  <w:style w:type="character" w:customStyle="1" w:styleId="FootnoteTextChar">
    <w:name w:val="Footnote Text Char"/>
    <w:basedOn w:val="DefaultParagraphFont"/>
    <w:link w:val="FootnoteText"/>
    <w:uiPriority w:val="99"/>
    <w:rsid w:val="003C6579"/>
    <w:rPr>
      <w:rFonts w:ascii="Graphik Regular" w:eastAsia="Graphik Regular" w:hAnsi="Graphik Regular" w:cs="Graphik Regular"/>
      <w:kern w:val="0"/>
      <w:sz w:val="20"/>
      <w:szCs w:val="20"/>
      <w14:ligatures w14:val="none"/>
    </w:rPr>
  </w:style>
  <w:style w:type="character" w:styleId="FootnoteReference">
    <w:name w:val="footnote reference"/>
    <w:basedOn w:val="DefaultParagraphFont"/>
    <w:uiPriority w:val="99"/>
    <w:semiHidden/>
    <w:unhideWhenUsed/>
    <w:rsid w:val="003C6579"/>
    <w:rPr>
      <w:vertAlign w:val="superscript"/>
    </w:rPr>
  </w:style>
  <w:style w:type="paragraph" w:styleId="Header">
    <w:name w:val="header"/>
    <w:basedOn w:val="Normal"/>
    <w:link w:val="HeaderChar"/>
    <w:uiPriority w:val="99"/>
    <w:unhideWhenUsed/>
    <w:rsid w:val="00782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8F3"/>
  </w:style>
  <w:style w:type="paragraph" w:styleId="Footer">
    <w:name w:val="footer"/>
    <w:basedOn w:val="Normal"/>
    <w:link w:val="FooterChar"/>
    <w:uiPriority w:val="99"/>
    <w:unhideWhenUsed/>
    <w:rsid w:val="00782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fnca.org/coding4food" TargetMode="External"/><Relationship Id="rId18" Type="http://schemas.openxmlformats.org/officeDocument/2006/relationships/hyperlink" Target="https://www.eatright.org/become-an-rdn" TargetMode="External"/><Relationship Id="rId26" Type="http://schemas.openxmlformats.org/officeDocument/2006/relationships/hyperlink" Target="https://www.mass.gov/doc/hrsn-supplemental-services-fee-schedule-3/download" TargetMode="External"/><Relationship Id="rId3" Type="http://schemas.openxmlformats.org/officeDocument/2006/relationships/styles" Target="styles.xml"/><Relationship Id="rId21" Type="http://schemas.openxmlformats.org/officeDocument/2006/relationships/hyperlink" Target="https://fimcoalition.org/wp-content/uploads/2024/03/Food-is-Medicine-Coalition-Medically-Tailored-Meal-Intervention-Accreditation-Criteria-and-Requirement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spenfood.org/wp-content/uploads/2024/04/Food-is-Medicine-Action-Plan-2024-Final.pdf" TargetMode="External"/><Relationship Id="rId17" Type="http://schemas.openxmlformats.org/officeDocument/2006/relationships/hyperlink" Target="https://www.federalregister.gov/documents/2023/11/16/2023-24184/medicare-and-medicaid-programs-cy-2024-payment-policies-under-the-physician-fee-schedule-and-other" TargetMode="External"/><Relationship Id="rId25" Type="http://schemas.openxmlformats.org/officeDocument/2006/relationships/hyperlink" Target="https://www.healthaffairs.org/doi/10.1377/hlthaff.2024.0130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imcoalition.org/wp-content/uploads/2025/09/Food-is-Medicine-Coalition-Medically-Tailored-Meal-Nutrition-Standards.pdf" TargetMode="External"/><Relationship Id="rId20" Type="http://schemas.openxmlformats.org/officeDocument/2006/relationships/hyperlink" Target="https://fimcoalition.org/wp-content/uploads/2024/03/Food-is-Medicine-Coalition-Medically-Tailored-Meal-Intervention-Accreditation-Criteria-and-Requirement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mcoalition.org/wp-content/uploads/2024/03/Food-is-Medicine-Coalition-Medically-Tailored-Meal-Intervention-Accreditation-Criteria-and-Requirements.pdf" TargetMode="External"/><Relationship Id="rId24" Type="http://schemas.openxmlformats.org/officeDocument/2006/relationships/hyperlink" Target="https://www.michigan.gov/mdhhs/-/media/Project/Websites/mdhhs/MI-Healthy-Life/202410-Michigans-Comprehensive-Health-Care-Program-In-Lieu-of-Services-Policy-Guide.pdf?rev=62d3fdf3b66342d4afc977f73b304f3b&amp;hash=0D9C814D776C5D37DC71266C46264DA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fimcoalition.org" TargetMode="External"/><Relationship Id="rId23" Type="http://schemas.openxmlformats.org/officeDocument/2006/relationships/hyperlink" Target="https://www.health.ny.gov/health_care/medicaid/redesign/sdh/scn/docs/operations_manual.pdf" TargetMode="External"/><Relationship Id="rId28" Type="http://schemas.openxmlformats.org/officeDocument/2006/relationships/header" Target="header2.xml"/><Relationship Id="rId10" Type="http://schemas.openxmlformats.org/officeDocument/2006/relationships/hyperlink" Target="https://fimcoalition.org/wp-content/uploads/2024/03/Food-is-Medicine-Coalition-Medically-Tailored-Meal-Intervention-Accreditation-Criteria-and-Requirements.pdf" TargetMode="External"/><Relationship Id="rId19" Type="http://schemas.openxmlformats.org/officeDocument/2006/relationships/hyperlink" Target="https://fimcoalition.org/wp-content/uploads/2025/09/Food-is-Medicine-Coalition-Medically-Tailored-Meal-Nutrition-Standards.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fimcoalition.org" TargetMode="External"/><Relationship Id="rId14" Type="http://schemas.openxmlformats.org/officeDocument/2006/relationships/hyperlink" Target="https://confluence.hl7.org/spaces/GRAV/pages/184932452/Coding4Food+HCPCS" TargetMode="External"/><Relationship Id="rId22" Type="http://schemas.openxmlformats.org/officeDocument/2006/relationships/hyperlink" Target="https://www.ncdhhs.gov/healthy-opportunities-pilot-fee-schedule-and-service-definitions/open"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cdc.gov/nchs/fastats/leading-causes-of-death.htm"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pubmed.ncbi.nlm.nih.gov/29608345/" TargetMode="External"/><Relationship Id="rId13" Type="http://schemas.openxmlformats.org/officeDocument/2006/relationships/hyperlink" Target="https://www.kff.org/medicare/medicare-advantage-enrollment-update-and-key-trends/" TargetMode="External"/><Relationship Id="rId18" Type="http://schemas.openxmlformats.org/officeDocument/2006/relationships/hyperlink" Target="https://policysearch.ama-assn.org/policyfinder/detail/H-320.953?uri=%2FAMADoc%2FHOD.xml-0-2625.xml" TargetMode="External"/><Relationship Id="rId26" Type="http://schemas.openxmlformats.org/officeDocument/2006/relationships/hyperlink" Target="https://www.mass.gov/doc/hrsn-supplemental-services-fee-schedule-3/download" TargetMode="External"/><Relationship Id="rId3" Type="http://schemas.openxmlformats.org/officeDocument/2006/relationships/hyperlink" Target="https://doi.org/10.1001/jama.2018.0158" TargetMode="External"/><Relationship Id="rId21" Type="http://schemas.openxmlformats.org/officeDocument/2006/relationships/hyperlink" Target="https://www.uspreventiveservicestaskforce.org/uspstf/sites/default/files/inline-files/Clinical%20Practice%20Guidelines%202011%20Insert_0.pdf" TargetMode="External"/><Relationship Id="rId7" Type="http://schemas.openxmlformats.org/officeDocument/2006/relationships/hyperlink" Target="https://apha2022sessions.hubb.me/AbstractDetail.aspx?id=924950" TargetMode="External"/><Relationship Id="rId12" Type="http://schemas.openxmlformats.org/officeDocument/2006/relationships/hyperlink" Target="https://www.cms.gov/Medicare/Health-Plans/HealthPlansGenInfo/Downloads/Supplemental_Benefits_Chronically_Ill_HPMS_042419.pdf" TargetMode="External"/><Relationship Id="rId17" Type="http://schemas.openxmlformats.org/officeDocument/2006/relationships/hyperlink" Target="https://www.cms.gov/regulations-and-guidance/guidance/manuals/downloads/mc86c04.pdf" TargetMode="External"/><Relationship Id="rId25" Type="http://schemas.openxmlformats.org/officeDocument/2006/relationships/hyperlink" Target="https://www.healthaffairs.org/doi/abs/10.1377/hlthaff.2024.01307" TargetMode="External"/><Relationship Id="rId2" Type="http://schemas.openxmlformats.org/officeDocument/2006/relationships/hyperlink" Target="https://aspenfood.org/wp-content/uploads/2024/04/Food-is-Medicine-Action-Plan-2024-Final.pdf" TargetMode="External"/><Relationship Id="rId16" Type="http://schemas.openxmlformats.org/officeDocument/2006/relationships/hyperlink" Target="https://www.cms.gov/medicare/coverage/determination-process" TargetMode="External"/><Relationship Id="rId20" Type="http://schemas.openxmlformats.org/officeDocument/2006/relationships/hyperlink" Target="https://www.uspreventiveservicestaskforce.org/uspstf/about-uspstf/methods-and-processes/procedure-manual/procedure-manual-section-4-evidence-review-development" TargetMode="External"/><Relationship Id="rId29" Type="http://schemas.openxmlformats.org/officeDocument/2006/relationships/hyperlink" Target="https://doi.org/10.1016/j.jacc.2023.12.023" TargetMode="External"/><Relationship Id="rId1" Type="http://schemas.openxmlformats.org/officeDocument/2006/relationships/hyperlink" Target="https://odphp.health.gov/sites/default/files/2024-09/Food%20Is%20Medicine%20Landscape%20Summary%20FINAL%20508.pdf" TargetMode="External"/><Relationship Id="rId6" Type="http://schemas.openxmlformats.org/officeDocument/2006/relationships/hyperlink" Target="https://www.jacc.org/doi/10.1016/j.jacc.2023.12.023" TargetMode="External"/><Relationship Id="rId11" Type="http://schemas.openxmlformats.org/officeDocument/2006/relationships/hyperlink" Target="https://www.cms.gov/regulations-and-guidance/guidance/manuals/downloads/mc86c04.pdf" TargetMode="External"/><Relationship Id="rId24" Type="http://schemas.openxmlformats.org/officeDocument/2006/relationships/hyperlink" Target="https://www.cms.gov/regulations-and-guidance/guidance/manuals/downloads/bp102c15.pdf" TargetMode="External"/><Relationship Id="rId5" Type="http://schemas.openxmlformats.org/officeDocument/2006/relationships/hyperlink" Target="https://www.cdc.gov/chronic-disease/data-research/facts-stats/" TargetMode="External"/><Relationship Id="rId15" Type="http://schemas.openxmlformats.org/officeDocument/2006/relationships/hyperlink" Target="https://confluence.hl7.org/spaces/GRAV/pages/184932452/Coding4Food+HCPCS" TargetMode="External"/><Relationship Id="rId23" Type="http://schemas.openxmlformats.org/officeDocument/2006/relationships/hyperlink" Target="https://www.cms.gov/regulations-and-guidance/guidance/manuals/downloads/bp102c15.pdf" TargetMode="External"/><Relationship Id="rId28" Type="http://schemas.openxmlformats.org/officeDocument/2006/relationships/hyperlink" Target="https://www.healthaffairs.org/doi/abs/10.1377/hlthaff.2024.01343" TargetMode="External"/><Relationship Id="rId10" Type="http://schemas.openxmlformats.org/officeDocument/2006/relationships/hyperlink" Target="https://doi.org/10.1377/hlthaff.2024.01409" TargetMode="External"/><Relationship Id="rId19" Type="http://schemas.openxmlformats.org/officeDocument/2006/relationships/hyperlink" Target="https://professional.heart.org/-/media/phd-files/guidelines-and-statements/methodology_manual_and_policies_ucm_319826.pdf" TargetMode="External"/><Relationship Id="rId4" Type="http://schemas.openxmlformats.org/officeDocument/2006/relationships/hyperlink" Target="https://www.gao.gov/assets/d21593.pdf" TargetMode="External"/><Relationship Id="rId9" Type="http://schemas.openxmlformats.org/officeDocument/2006/relationships/hyperlink" Target="https://jamanetwork.com/journals/jamainternalmedicine/fullarticle/2730768" TargetMode="External"/><Relationship Id="rId14" Type="http://schemas.openxmlformats.org/officeDocument/2006/relationships/hyperlink" Target="http://dx.doi.org/10.5888/pcd22.240539" TargetMode="External"/><Relationship Id="rId22" Type="http://schemas.openxmlformats.org/officeDocument/2006/relationships/hyperlink" Target="https://www.cms.gov/regulations-and-guidance/guidance/manuals/downloads/bp102c15.pdf" TargetMode="External"/><Relationship Id="rId27" Type="http://schemas.openxmlformats.org/officeDocument/2006/relationships/hyperlink" Target="https://aspenfood.org/wp-content/uploads/2024/04/Food-is-Medicine-Action-Plan-2024-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08FB3-0DB1-4126-9413-D3336C59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5726</Words>
  <Characters>32639</Characters>
  <Application>Microsoft Office Word</Application>
  <DocSecurity>0</DocSecurity>
  <Lines>271</Lines>
  <Paragraphs>76</Paragraphs>
  <ScaleCrop>false</ScaleCrop>
  <Company>HLS</Company>
  <LinksUpToDate>false</LinksUpToDate>
  <CharactersWithSpaces>38289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Garfield, Katie</dc:creator>
  <cp:keywords/>
  <dc:description/>
  <cp:lastModifiedBy>Alissa Wassung</cp:lastModifiedBy>
  <cp:revision>7</cp:revision>
  <cp:lastPrinted>2025-09-04T16:47:00Z</cp:lastPrinted>
  <dcterms:created xsi:type="dcterms:W3CDTF">2025-09-04T18:03:00Z</dcterms:created>
  <dcterms:modified xsi:type="dcterms:W3CDTF">2025-09-05T13:16:00Z</dcterms:modified>
</cp:coreProperties>
</file>